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8FB" w:rsidRPr="00D54D64" w:rsidRDefault="001658FB" w:rsidP="005F325F">
      <w:pPr>
        <w:pStyle w:val="BodyText2"/>
        <w:spacing w:after="0" w:line="240" w:lineRule="auto"/>
        <w:jc w:val="center"/>
        <w:rPr>
          <w:b/>
          <w:sz w:val="24"/>
          <w:szCs w:val="24"/>
        </w:rPr>
      </w:pPr>
      <w:r w:rsidRPr="00D54D64">
        <w:rPr>
          <w:b/>
          <w:sz w:val="24"/>
          <w:szCs w:val="24"/>
        </w:rPr>
        <w:t xml:space="preserve">SUMMARY TABLE ON </w:t>
      </w:r>
      <w:r w:rsidR="005F325F" w:rsidRPr="00D54D64">
        <w:rPr>
          <w:b/>
          <w:sz w:val="24"/>
          <w:szCs w:val="24"/>
        </w:rPr>
        <w:t xml:space="preserve">PROPOSED NON-BUDGET CHANGES TO THE INCOME TAX ACT </w:t>
      </w:r>
      <w:r w:rsidR="00AB2286" w:rsidRPr="00D54D64">
        <w:rPr>
          <w:b/>
          <w:sz w:val="24"/>
          <w:szCs w:val="24"/>
        </w:rPr>
        <w:t>(“ITA”)</w:t>
      </w:r>
    </w:p>
    <w:p w:rsidR="001658FB" w:rsidRPr="00D54D64" w:rsidRDefault="001658FB" w:rsidP="001658FB">
      <w:pPr>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3009"/>
        <w:gridCol w:w="6796"/>
        <w:gridCol w:w="2480"/>
      </w:tblGrid>
      <w:tr w:rsidR="001658FB" w:rsidRPr="00D54D64" w:rsidTr="007B0C8A">
        <w:trPr>
          <w:tblHeader/>
          <w:jc w:val="center"/>
        </w:trPr>
        <w:tc>
          <w:tcPr>
            <w:tcW w:w="338" w:type="pct"/>
            <w:shd w:val="clear" w:color="auto" w:fill="E5DFEC" w:themeFill="accent4" w:themeFillTint="33"/>
          </w:tcPr>
          <w:p w:rsidR="001658FB" w:rsidRPr="00D54D64" w:rsidRDefault="00632634" w:rsidP="00001C9D">
            <w:pPr>
              <w:rPr>
                <w:b/>
              </w:rPr>
            </w:pPr>
            <w:bookmarkStart w:id="0" w:name="OLE_LINK1"/>
            <w:r w:rsidRPr="00D54D64">
              <w:rPr>
                <w:b/>
              </w:rPr>
              <w:t>S/N</w:t>
            </w:r>
            <w:r w:rsidR="001658FB" w:rsidRPr="00D54D64">
              <w:rPr>
                <w:b/>
              </w:rPr>
              <w:t>.</w:t>
            </w:r>
          </w:p>
        </w:tc>
        <w:tc>
          <w:tcPr>
            <w:tcW w:w="1142" w:type="pct"/>
            <w:shd w:val="clear" w:color="auto" w:fill="E5DFEC" w:themeFill="accent4" w:themeFillTint="33"/>
          </w:tcPr>
          <w:p w:rsidR="001658FB" w:rsidRPr="00D54D64" w:rsidRDefault="001658FB" w:rsidP="00001C9D">
            <w:pPr>
              <w:rPr>
                <w:b/>
              </w:rPr>
            </w:pPr>
            <w:r w:rsidRPr="00D54D64">
              <w:rPr>
                <w:b/>
              </w:rPr>
              <w:t>Legislative Change</w:t>
            </w:r>
          </w:p>
        </w:tc>
        <w:tc>
          <w:tcPr>
            <w:tcW w:w="2579" w:type="pct"/>
            <w:shd w:val="clear" w:color="auto" w:fill="E5DFEC" w:themeFill="accent4" w:themeFillTint="33"/>
          </w:tcPr>
          <w:p w:rsidR="001658FB" w:rsidRPr="00D54D64" w:rsidRDefault="001658FB" w:rsidP="00001C9D">
            <w:pPr>
              <w:rPr>
                <w:b/>
              </w:rPr>
            </w:pPr>
            <w:r w:rsidRPr="00D54D64">
              <w:rPr>
                <w:b/>
              </w:rPr>
              <w:t>Brief Description of Legislative Change</w:t>
            </w:r>
          </w:p>
          <w:p w:rsidR="001658FB" w:rsidRPr="00D54D64" w:rsidRDefault="001658FB" w:rsidP="00001C9D">
            <w:pPr>
              <w:rPr>
                <w:b/>
              </w:rPr>
            </w:pPr>
          </w:p>
        </w:tc>
        <w:tc>
          <w:tcPr>
            <w:tcW w:w="941" w:type="pct"/>
            <w:shd w:val="clear" w:color="auto" w:fill="E5DFEC" w:themeFill="accent4" w:themeFillTint="33"/>
          </w:tcPr>
          <w:p w:rsidR="001658FB" w:rsidRPr="00D54D64" w:rsidRDefault="001658FB" w:rsidP="00001C9D">
            <w:pPr>
              <w:rPr>
                <w:b/>
              </w:rPr>
            </w:pPr>
            <w:r w:rsidRPr="00D54D64">
              <w:rPr>
                <w:b/>
              </w:rPr>
              <w:t>Amendment to Income Tax Act</w:t>
            </w:r>
          </w:p>
          <w:p w:rsidR="001658FB" w:rsidRPr="00D54D64" w:rsidRDefault="001658FB" w:rsidP="00001C9D">
            <w:pPr>
              <w:rPr>
                <w:b/>
              </w:rPr>
            </w:pPr>
            <w:r w:rsidRPr="00D54D64">
              <w:rPr>
                <w:b/>
              </w:rPr>
              <w:t xml:space="preserve">[Clause in Income Tax (Amendment) </w:t>
            </w:r>
            <w:r w:rsidR="00632634" w:rsidRPr="00D54D64">
              <w:rPr>
                <w:b/>
              </w:rPr>
              <w:t xml:space="preserve">(No. 3) </w:t>
            </w:r>
            <w:r w:rsidRPr="00D54D64">
              <w:rPr>
                <w:b/>
              </w:rPr>
              <w:t>Bill</w:t>
            </w:r>
            <w:r w:rsidR="00632634" w:rsidRPr="00D54D64">
              <w:rPr>
                <w:b/>
              </w:rPr>
              <w:t xml:space="preserve"> 2016</w:t>
            </w:r>
            <w:r w:rsidRPr="00D54D64">
              <w:rPr>
                <w:b/>
              </w:rPr>
              <w:t>]</w:t>
            </w:r>
          </w:p>
          <w:p w:rsidR="001658FB" w:rsidRPr="00D54D64" w:rsidRDefault="001658FB" w:rsidP="00001C9D">
            <w:pPr>
              <w:rPr>
                <w:b/>
              </w:rPr>
            </w:pPr>
          </w:p>
        </w:tc>
      </w:tr>
      <w:tr w:rsidR="00695EE9" w:rsidRPr="00D54D64" w:rsidTr="007B0C8A">
        <w:trPr>
          <w:jc w:val="center"/>
        </w:trPr>
        <w:tc>
          <w:tcPr>
            <w:tcW w:w="338" w:type="pct"/>
          </w:tcPr>
          <w:p w:rsidR="00695EE9" w:rsidRPr="00D54D64" w:rsidRDefault="00695EE9">
            <w:pPr>
              <w:widowControl w:val="0"/>
              <w:numPr>
                <w:ilvl w:val="0"/>
                <w:numId w:val="26"/>
              </w:numPr>
              <w:rPr>
                <w:rFonts w:eastAsia="PMingLiU"/>
                <w:b/>
              </w:rPr>
            </w:pPr>
          </w:p>
        </w:tc>
        <w:tc>
          <w:tcPr>
            <w:tcW w:w="1142" w:type="pct"/>
            <w:shd w:val="clear" w:color="auto" w:fill="auto"/>
          </w:tcPr>
          <w:p w:rsidR="00695EE9" w:rsidRPr="00D54D64" w:rsidRDefault="00695EE9" w:rsidP="006F660E">
            <w:r w:rsidRPr="00D54D64">
              <w:t>Implement Country-by-country reporting</w:t>
            </w:r>
          </w:p>
        </w:tc>
        <w:tc>
          <w:tcPr>
            <w:tcW w:w="2579" w:type="pct"/>
          </w:tcPr>
          <w:p w:rsidR="00695EE9" w:rsidRPr="00D54D64" w:rsidRDefault="00695EE9" w:rsidP="00AB2286">
            <w:r w:rsidRPr="00D54D64">
              <w:t>To implement country-by-country reporting</w:t>
            </w:r>
            <w:r w:rsidR="00AB2286" w:rsidRPr="00D54D64">
              <w:t xml:space="preserve"> for</w:t>
            </w:r>
            <w:r w:rsidRPr="00D54D64">
              <w:t xml:space="preserve"> companies’ financial years commencing on or after 1 January 2017.</w:t>
            </w:r>
          </w:p>
        </w:tc>
        <w:tc>
          <w:tcPr>
            <w:tcW w:w="941" w:type="pct"/>
          </w:tcPr>
          <w:p w:rsidR="00695EE9" w:rsidRPr="00D54D64" w:rsidRDefault="00695EE9" w:rsidP="00001C9D">
            <w:r w:rsidRPr="00D54D64">
              <w:t>Sections 105I, 105J, 105K, 105L and 105P</w:t>
            </w:r>
          </w:p>
          <w:p w:rsidR="00695EE9" w:rsidRPr="00D54D64" w:rsidRDefault="00695EE9" w:rsidP="00001C9D">
            <w:r w:rsidRPr="00D54D64">
              <w:t xml:space="preserve">[Clauses </w:t>
            </w:r>
            <w:r w:rsidR="00AD7944" w:rsidRPr="00D54D64">
              <w:t>52, 53, 54, 55 and 57</w:t>
            </w:r>
            <w:r w:rsidRPr="00D54D64">
              <w:t>]</w:t>
            </w:r>
          </w:p>
          <w:p w:rsidR="005D4BCA" w:rsidRPr="00D54D64" w:rsidRDefault="005D4BCA" w:rsidP="00001C9D"/>
        </w:tc>
      </w:tr>
      <w:tr w:rsidR="00695EE9" w:rsidRPr="00D54D64" w:rsidTr="007B0C8A">
        <w:trPr>
          <w:jc w:val="center"/>
        </w:trPr>
        <w:tc>
          <w:tcPr>
            <w:tcW w:w="338" w:type="pct"/>
          </w:tcPr>
          <w:p w:rsidR="00695EE9" w:rsidRPr="00D54D64" w:rsidRDefault="00695EE9">
            <w:pPr>
              <w:widowControl w:val="0"/>
              <w:numPr>
                <w:ilvl w:val="0"/>
                <w:numId w:val="26"/>
              </w:numPr>
              <w:rPr>
                <w:rFonts w:eastAsia="PMingLiU"/>
                <w:b/>
              </w:rPr>
            </w:pPr>
          </w:p>
        </w:tc>
        <w:tc>
          <w:tcPr>
            <w:tcW w:w="1142" w:type="pct"/>
            <w:shd w:val="clear" w:color="auto" w:fill="auto"/>
          </w:tcPr>
          <w:p w:rsidR="00695EE9" w:rsidRPr="00D54D64" w:rsidRDefault="00695EE9" w:rsidP="006F660E">
            <w:r w:rsidRPr="00D54D64">
              <w:t>Grant double tax deduction of costs attributable to issuance of retail bonds</w:t>
            </w:r>
          </w:p>
          <w:p w:rsidR="00695EE9" w:rsidRPr="00D54D64" w:rsidRDefault="00695EE9" w:rsidP="00001C9D"/>
        </w:tc>
        <w:tc>
          <w:tcPr>
            <w:tcW w:w="2579" w:type="pct"/>
          </w:tcPr>
          <w:p w:rsidR="00695EE9" w:rsidRPr="00D54D64" w:rsidRDefault="00695EE9" w:rsidP="006F660E">
            <w:r w:rsidRPr="00D54D64">
              <w:t>To grant a tax deduction to retail bond issuers of up to 200% for issuance costs attributable to retail bonds issued under the Seasoning Framework and Exempt Bond Issuers Framework. The concession is intended to promote retail bond issuances which will increase the range of investment options for individuals.</w:t>
            </w:r>
          </w:p>
          <w:p w:rsidR="00695EE9" w:rsidRPr="00D54D64" w:rsidRDefault="00695EE9" w:rsidP="006F660E">
            <w:pPr>
              <w:jc w:val="both"/>
              <w:rPr>
                <w:b/>
                <w:color w:val="FF0000"/>
              </w:rPr>
            </w:pPr>
          </w:p>
          <w:p w:rsidR="00695EE9" w:rsidRPr="00D54D64" w:rsidRDefault="00695EE9" w:rsidP="006F660E">
            <w:pPr>
              <w:jc w:val="both"/>
            </w:pPr>
            <w:r w:rsidRPr="00D54D64">
              <w:t>The tax concession will take effect from 19 May 2016 and will be available for 5 years.</w:t>
            </w:r>
          </w:p>
          <w:p w:rsidR="00695EE9" w:rsidRPr="00D54D64" w:rsidRDefault="00695EE9" w:rsidP="00001C9D">
            <w:pPr>
              <w:pStyle w:val="ListParagraph"/>
              <w:tabs>
                <w:tab w:val="left" w:pos="0"/>
              </w:tabs>
              <w:ind w:left="0"/>
              <w:jc w:val="both"/>
              <w:rPr>
                <w:rFonts w:eastAsiaTheme="minorEastAsia"/>
                <w:sz w:val="24"/>
                <w:szCs w:val="24"/>
                <w:lang w:eastAsia="zh-CN"/>
              </w:rPr>
            </w:pPr>
          </w:p>
        </w:tc>
        <w:tc>
          <w:tcPr>
            <w:tcW w:w="941" w:type="pct"/>
          </w:tcPr>
          <w:p w:rsidR="00695EE9" w:rsidRPr="00D54D64" w:rsidRDefault="00695EE9" w:rsidP="00001C9D">
            <w:r w:rsidRPr="00D54D64">
              <w:t>Section</w:t>
            </w:r>
            <w:r w:rsidR="00D64FDF" w:rsidRPr="00D54D64">
              <w:t>s</w:t>
            </w:r>
            <w:r w:rsidRPr="00D54D64">
              <w:t xml:space="preserve"> 14ZA</w:t>
            </w:r>
            <w:r w:rsidR="00640A9B" w:rsidRPr="00D54D64">
              <w:t xml:space="preserve"> and</w:t>
            </w:r>
            <w:r w:rsidR="00D64FDF" w:rsidRPr="00D54D64">
              <w:t xml:space="preserve"> 15</w:t>
            </w:r>
          </w:p>
          <w:p w:rsidR="00695EE9" w:rsidRPr="00D54D64" w:rsidRDefault="00AD7944" w:rsidP="006F660E">
            <w:r w:rsidRPr="00D54D64">
              <w:t>[Clauses 16 and 18</w:t>
            </w:r>
            <w:r w:rsidR="00695EE9" w:rsidRPr="00D54D64">
              <w:t>]</w:t>
            </w:r>
          </w:p>
        </w:tc>
      </w:tr>
      <w:tr w:rsidR="00695EE9" w:rsidRPr="00D54D64" w:rsidTr="007B0C8A">
        <w:trPr>
          <w:jc w:val="center"/>
        </w:trPr>
        <w:tc>
          <w:tcPr>
            <w:tcW w:w="338" w:type="pct"/>
          </w:tcPr>
          <w:p w:rsidR="00695EE9" w:rsidRPr="00D54D64" w:rsidRDefault="00695EE9">
            <w:pPr>
              <w:widowControl w:val="0"/>
              <w:numPr>
                <w:ilvl w:val="0"/>
                <w:numId w:val="26"/>
              </w:numPr>
              <w:rPr>
                <w:rFonts w:eastAsia="PMingLiU"/>
                <w:b/>
              </w:rPr>
            </w:pPr>
          </w:p>
        </w:tc>
        <w:tc>
          <w:tcPr>
            <w:tcW w:w="1142" w:type="pct"/>
            <w:shd w:val="clear" w:color="auto" w:fill="auto"/>
          </w:tcPr>
          <w:p w:rsidR="00695EE9" w:rsidRPr="00D54D64" w:rsidRDefault="00695EE9" w:rsidP="00001C9D">
            <w:r w:rsidRPr="00D54D64">
              <w:t xml:space="preserve">Introduce a definition for income support payment (“ISP”) derived by REITs </w:t>
            </w:r>
          </w:p>
        </w:tc>
        <w:tc>
          <w:tcPr>
            <w:tcW w:w="2579" w:type="pct"/>
          </w:tcPr>
          <w:p w:rsidR="00695EE9" w:rsidRPr="00D54D64" w:rsidRDefault="00695EE9" w:rsidP="006F660E">
            <w:pPr>
              <w:pStyle w:val="Default"/>
              <w:jc w:val="both"/>
              <w:rPr>
                <w:color w:val="auto"/>
              </w:rPr>
            </w:pPr>
            <w:r w:rsidRPr="00D54D64">
              <w:rPr>
                <w:color w:val="auto"/>
              </w:rPr>
              <w:t>To</w:t>
            </w:r>
            <w:r w:rsidR="00D64FDF" w:rsidRPr="00D54D64">
              <w:rPr>
                <w:color w:val="auto"/>
              </w:rPr>
              <w:t xml:space="preserve"> legislate</w:t>
            </w:r>
            <w:r w:rsidRPr="00D54D64">
              <w:rPr>
                <w:color w:val="auto"/>
              </w:rPr>
              <w:t xml:space="preserve"> that</w:t>
            </w:r>
            <w:r w:rsidR="00D64FDF" w:rsidRPr="00D54D64">
              <w:rPr>
                <w:color w:val="auto"/>
              </w:rPr>
              <w:t xml:space="preserve"> ISPs</w:t>
            </w:r>
            <w:r w:rsidRPr="00D54D64">
              <w:rPr>
                <w:color w:val="auto"/>
              </w:rPr>
              <w:t xml:space="preserve"> derived by REITs will qualify for tax transparency</w:t>
            </w:r>
            <w:r w:rsidR="00D64FDF" w:rsidRPr="00D54D64">
              <w:rPr>
                <w:color w:val="auto"/>
              </w:rPr>
              <w:t xml:space="preserve"> treatment</w:t>
            </w:r>
            <w:r w:rsidRPr="00D54D64">
              <w:rPr>
                <w:color w:val="auto"/>
              </w:rPr>
              <w:t>, if the following conditions are met:</w:t>
            </w:r>
          </w:p>
          <w:p w:rsidR="00695EE9" w:rsidRPr="00D54D64" w:rsidRDefault="00695EE9" w:rsidP="006F660E">
            <w:pPr>
              <w:pStyle w:val="ListParagraph"/>
              <w:numPr>
                <w:ilvl w:val="2"/>
                <w:numId w:val="27"/>
              </w:numPr>
              <w:ind w:left="1134" w:hanging="425"/>
              <w:jc w:val="both"/>
              <w:rPr>
                <w:sz w:val="24"/>
                <w:szCs w:val="24"/>
              </w:rPr>
            </w:pPr>
            <w:r w:rsidRPr="00D54D64">
              <w:rPr>
                <w:sz w:val="24"/>
                <w:szCs w:val="24"/>
              </w:rPr>
              <w:t xml:space="preserve">The ISP is a payment that is meant to compensate the shortfall in the market rental income, including future rental potential, for a fixed period of time; </w:t>
            </w:r>
          </w:p>
          <w:p w:rsidR="00695EE9" w:rsidRPr="00D54D64" w:rsidRDefault="00695EE9" w:rsidP="006F660E">
            <w:pPr>
              <w:pStyle w:val="ListParagraph"/>
              <w:numPr>
                <w:ilvl w:val="2"/>
                <w:numId w:val="27"/>
              </w:numPr>
              <w:ind w:left="1134" w:hanging="425"/>
              <w:jc w:val="both"/>
              <w:rPr>
                <w:sz w:val="24"/>
                <w:szCs w:val="24"/>
              </w:rPr>
            </w:pPr>
            <w:r w:rsidRPr="00D54D64">
              <w:rPr>
                <w:sz w:val="24"/>
                <w:szCs w:val="24"/>
              </w:rPr>
              <w:t>The ISP is granted for a fixed period of time based on a written agreement; and</w:t>
            </w:r>
          </w:p>
          <w:p w:rsidR="00695EE9" w:rsidRPr="00D54D64" w:rsidRDefault="00695EE9" w:rsidP="006F660E">
            <w:pPr>
              <w:pStyle w:val="ListParagraph"/>
              <w:numPr>
                <w:ilvl w:val="2"/>
                <w:numId w:val="27"/>
              </w:numPr>
              <w:ind w:left="1134" w:hanging="425"/>
              <w:jc w:val="both"/>
              <w:rPr>
                <w:sz w:val="24"/>
                <w:szCs w:val="24"/>
              </w:rPr>
            </w:pPr>
            <w:r w:rsidRPr="00D54D64">
              <w:rPr>
                <w:sz w:val="24"/>
                <w:szCs w:val="24"/>
              </w:rPr>
              <w:t>There is a nexus between the payer of the ISP, the REIT and the property.</w:t>
            </w:r>
          </w:p>
          <w:p w:rsidR="00695EE9" w:rsidRPr="00D54D64" w:rsidRDefault="00695EE9" w:rsidP="00001C9D">
            <w:pPr>
              <w:jc w:val="both"/>
              <w:rPr>
                <w:rFonts w:eastAsiaTheme="minorEastAsia"/>
              </w:rPr>
            </w:pPr>
          </w:p>
        </w:tc>
        <w:tc>
          <w:tcPr>
            <w:tcW w:w="941" w:type="pct"/>
          </w:tcPr>
          <w:p w:rsidR="00695EE9" w:rsidRPr="00D54D64" w:rsidRDefault="00695EE9" w:rsidP="00001C9D">
            <w:pPr>
              <w:jc w:val="both"/>
            </w:pPr>
            <w:r w:rsidRPr="00D54D64">
              <w:t xml:space="preserve">Section </w:t>
            </w:r>
            <w:r w:rsidR="00024D9F" w:rsidRPr="00D54D64">
              <w:t>43</w:t>
            </w:r>
          </w:p>
          <w:p w:rsidR="00695EE9" w:rsidRPr="00D54D64" w:rsidRDefault="00695EE9" w:rsidP="00AD7944">
            <w:pPr>
              <w:jc w:val="both"/>
            </w:pPr>
            <w:r w:rsidRPr="00D54D64">
              <w:t xml:space="preserve">[Clause </w:t>
            </w:r>
            <w:r w:rsidR="00AD7944" w:rsidRPr="00D54D64">
              <w:t>29</w:t>
            </w:r>
            <w:r w:rsidRPr="00D54D64">
              <w:t>]</w:t>
            </w:r>
          </w:p>
        </w:tc>
      </w:tr>
      <w:tr w:rsidR="00695EE9" w:rsidRPr="00D54D64" w:rsidTr="007B0C8A">
        <w:trPr>
          <w:jc w:val="center"/>
        </w:trPr>
        <w:tc>
          <w:tcPr>
            <w:tcW w:w="338" w:type="pct"/>
          </w:tcPr>
          <w:p w:rsidR="00695EE9" w:rsidRPr="00D54D64" w:rsidRDefault="00695EE9">
            <w:pPr>
              <w:widowControl w:val="0"/>
              <w:numPr>
                <w:ilvl w:val="0"/>
                <w:numId w:val="26"/>
              </w:numPr>
              <w:rPr>
                <w:rFonts w:eastAsia="PMingLiU"/>
                <w:b/>
              </w:rPr>
            </w:pPr>
          </w:p>
        </w:tc>
        <w:tc>
          <w:tcPr>
            <w:tcW w:w="1142" w:type="pct"/>
            <w:shd w:val="clear" w:color="auto" w:fill="auto"/>
          </w:tcPr>
          <w:p w:rsidR="00F92A79" w:rsidRPr="00D54D64" w:rsidRDefault="00D64FDF" w:rsidP="006F660E">
            <w:r w:rsidRPr="00D54D64">
              <w:t xml:space="preserve">Remove the requirement to withhold tax for REIT distributions made to international </w:t>
            </w:r>
            <w:proofErr w:type="spellStart"/>
            <w:r w:rsidRPr="00D54D64">
              <w:t>organisations</w:t>
            </w:r>
            <w:proofErr w:type="spellEnd"/>
            <w:r w:rsidRPr="00D54D64">
              <w:t xml:space="preserve"> (“IOs”) that are exempt from tax</w:t>
            </w:r>
          </w:p>
          <w:p w:rsidR="00695EE9" w:rsidRPr="00D54D64" w:rsidRDefault="00695EE9" w:rsidP="00001C9D"/>
        </w:tc>
        <w:tc>
          <w:tcPr>
            <w:tcW w:w="2579" w:type="pct"/>
          </w:tcPr>
          <w:p w:rsidR="00695EE9" w:rsidRPr="00D54D64" w:rsidRDefault="00D64FDF" w:rsidP="003B2260">
            <w:pPr>
              <w:pStyle w:val="Default"/>
              <w:jc w:val="both"/>
            </w:pPr>
            <w:r w:rsidRPr="00D54D64">
              <w:rPr>
                <w:color w:val="auto"/>
              </w:rPr>
              <w:t>To remove the obligation for withholding tax when the trustee of a REIT makes distributions to an IO that is exempt from tax</w:t>
            </w:r>
            <w:r w:rsidR="00815A36" w:rsidRPr="00D54D64">
              <w:rPr>
                <w:color w:val="auto"/>
              </w:rPr>
              <w:t xml:space="preserve"> to ease compliance burden</w:t>
            </w:r>
            <w:r w:rsidRPr="00D54D64">
              <w:rPr>
                <w:color w:val="auto"/>
              </w:rPr>
              <w:t xml:space="preserve">.  </w:t>
            </w:r>
          </w:p>
        </w:tc>
        <w:tc>
          <w:tcPr>
            <w:tcW w:w="941" w:type="pct"/>
          </w:tcPr>
          <w:p w:rsidR="00695EE9" w:rsidRPr="00D54D64" w:rsidRDefault="00695EE9" w:rsidP="00001C9D">
            <w:r w:rsidRPr="00D54D64">
              <w:t>Section 45G</w:t>
            </w:r>
          </w:p>
          <w:p w:rsidR="00695EE9" w:rsidRPr="00D54D64" w:rsidRDefault="00695EE9" w:rsidP="00AD7944">
            <w:r w:rsidRPr="00D54D64">
              <w:t xml:space="preserve">[Clause </w:t>
            </w:r>
            <w:r w:rsidR="00AD7944" w:rsidRPr="00D54D64">
              <w:t>42</w:t>
            </w:r>
            <w:r w:rsidRPr="00D54D64">
              <w:t>]</w:t>
            </w:r>
          </w:p>
        </w:tc>
      </w:tr>
      <w:tr w:rsidR="00695EE9" w:rsidRPr="00D54D64" w:rsidTr="007B0C8A">
        <w:trPr>
          <w:jc w:val="center"/>
        </w:trPr>
        <w:tc>
          <w:tcPr>
            <w:tcW w:w="338" w:type="pct"/>
          </w:tcPr>
          <w:p w:rsidR="00695EE9" w:rsidRPr="00D54D64" w:rsidRDefault="00695EE9">
            <w:pPr>
              <w:widowControl w:val="0"/>
              <w:numPr>
                <w:ilvl w:val="0"/>
                <w:numId w:val="26"/>
              </w:numPr>
              <w:rPr>
                <w:rFonts w:eastAsia="PMingLiU"/>
                <w:b/>
              </w:rPr>
            </w:pPr>
          </w:p>
        </w:tc>
        <w:tc>
          <w:tcPr>
            <w:tcW w:w="1142" w:type="pct"/>
            <w:shd w:val="clear" w:color="auto" w:fill="auto"/>
          </w:tcPr>
          <w:p w:rsidR="00695EE9" w:rsidRPr="00D54D64" w:rsidRDefault="00695EE9" w:rsidP="006F660E">
            <w:r w:rsidRPr="00D54D64">
              <w:t>Clarify</w:t>
            </w:r>
            <w:r w:rsidR="00D64FDF" w:rsidRPr="00D54D64">
              <w:t xml:space="preserve"> the arrangement for</w:t>
            </w:r>
            <w:r w:rsidRPr="00D54D64">
              <w:t xml:space="preserve"> third parties engaged to inspect financial institutions </w:t>
            </w:r>
          </w:p>
          <w:p w:rsidR="00695EE9" w:rsidRPr="00D54D64" w:rsidRDefault="00695EE9" w:rsidP="00001C9D"/>
        </w:tc>
        <w:tc>
          <w:tcPr>
            <w:tcW w:w="2579" w:type="pct"/>
          </w:tcPr>
          <w:p w:rsidR="00695EE9" w:rsidRPr="00D54D64" w:rsidRDefault="00695EE9" w:rsidP="00001C9D">
            <w:pPr>
              <w:jc w:val="both"/>
            </w:pPr>
            <w:r w:rsidRPr="00D54D64">
              <w:t>To clarify</w:t>
            </w:r>
            <w:r w:rsidR="00D64FDF" w:rsidRPr="00D54D64">
              <w:t xml:space="preserve"> that</w:t>
            </w:r>
            <w:r w:rsidRPr="00D54D64">
              <w:t xml:space="preserve"> the</w:t>
            </w:r>
            <w:r w:rsidR="00D64FDF" w:rsidRPr="00D54D64">
              <w:t xml:space="preserve"> involvement of the Monetary Authority of Singapore (“MAS”) is required when public accountants are</w:t>
            </w:r>
            <w:r w:rsidRPr="00D54D64">
              <w:t xml:space="preserve"> engaged to inspect Financial Institutions for the purposes of complying with the Singapore-United States Foreign Account Tax Compliance Act Inter-governmental Agreement and the Common Reporting Standard, an internationally agreed standard for automatic exchange of financial account information.</w:t>
            </w:r>
          </w:p>
          <w:p w:rsidR="005D4BCA" w:rsidRPr="00D54D64" w:rsidRDefault="005D4BCA" w:rsidP="00001C9D">
            <w:pPr>
              <w:jc w:val="both"/>
            </w:pPr>
          </w:p>
        </w:tc>
        <w:tc>
          <w:tcPr>
            <w:tcW w:w="941" w:type="pct"/>
          </w:tcPr>
          <w:p w:rsidR="00695EE9" w:rsidRPr="00D54D64" w:rsidRDefault="00695EE9" w:rsidP="00001C9D">
            <w:r w:rsidRPr="00D54D64">
              <w:t>Section 105N</w:t>
            </w:r>
          </w:p>
          <w:p w:rsidR="00695EE9" w:rsidRPr="00D54D64" w:rsidRDefault="00695EE9" w:rsidP="00AD7944">
            <w:r w:rsidRPr="00D54D64">
              <w:t xml:space="preserve">[Clause </w:t>
            </w:r>
            <w:r w:rsidR="00AD7944" w:rsidRPr="00D54D64">
              <w:t>56</w:t>
            </w:r>
            <w:r w:rsidRPr="00D54D64">
              <w:t>]</w:t>
            </w:r>
          </w:p>
        </w:tc>
      </w:tr>
      <w:tr w:rsidR="00695EE9" w:rsidRPr="00D54D64" w:rsidTr="007B0C8A">
        <w:trPr>
          <w:jc w:val="center"/>
        </w:trPr>
        <w:tc>
          <w:tcPr>
            <w:tcW w:w="338" w:type="pct"/>
          </w:tcPr>
          <w:p w:rsidR="00695EE9" w:rsidRPr="00D54D64" w:rsidRDefault="00695EE9">
            <w:pPr>
              <w:widowControl w:val="0"/>
              <w:numPr>
                <w:ilvl w:val="0"/>
                <w:numId w:val="26"/>
              </w:numPr>
              <w:rPr>
                <w:rFonts w:eastAsia="PMingLiU"/>
                <w:b/>
              </w:rPr>
            </w:pPr>
          </w:p>
        </w:tc>
        <w:tc>
          <w:tcPr>
            <w:tcW w:w="1142" w:type="pct"/>
            <w:shd w:val="clear" w:color="auto" w:fill="auto"/>
          </w:tcPr>
          <w:p w:rsidR="00695EE9" w:rsidRPr="00D54D64" w:rsidRDefault="008E49DF" w:rsidP="00001C9D">
            <w:r w:rsidRPr="00D54D64">
              <w:rPr>
                <w:szCs w:val="26"/>
              </w:rPr>
              <w:t>Delink the limit on t</w:t>
            </w:r>
            <w:r w:rsidRPr="00D54D64">
              <w:rPr>
                <w:color w:val="000000" w:themeColor="text1"/>
                <w:lang w:bidi="ta-IN"/>
              </w:rPr>
              <w:t>ax relief for a cash top-up to a CPF Retirement Account (“RA”) from the maximum amount by which the account may be topped up to, under CPF rules</w:t>
            </w:r>
          </w:p>
        </w:tc>
        <w:tc>
          <w:tcPr>
            <w:tcW w:w="2579" w:type="pct"/>
          </w:tcPr>
          <w:p w:rsidR="008E49DF" w:rsidRPr="00D54D64" w:rsidRDefault="008E49DF" w:rsidP="008E49DF">
            <w:pPr>
              <w:jc w:val="both"/>
              <w:rPr>
                <w:color w:val="000000" w:themeColor="text1"/>
                <w:lang w:bidi="ta-IN"/>
              </w:rPr>
            </w:pPr>
            <w:r w:rsidRPr="00D54D64">
              <w:rPr>
                <w:color w:val="000000" w:themeColor="text1"/>
                <w:lang w:bidi="ta-IN"/>
              </w:rPr>
              <w:t>Prior to 1 January 2016, tax relief was provided for cash top-ups to the RA, subject to</w:t>
            </w:r>
            <w:r w:rsidR="009B2876" w:rsidRPr="00D54D64">
              <w:rPr>
                <w:color w:val="000000" w:themeColor="text1"/>
                <w:lang w:bidi="ta-IN"/>
              </w:rPr>
              <w:t xml:space="preserve"> among other conditions,</w:t>
            </w:r>
            <w:r w:rsidRPr="00D54D64">
              <w:rPr>
                <w:color w:val="000000" w:themeColor="text1"/>
                <w:lang w:bidi="ta-IN"/>
              </w:rPr>
              <w:t xml:space="preserve"> the maximum amount by which the account may be topped up to under CPF rules. The maximum amount was </w:t>
            </w:r>
            <w:r w:rsidR="00E67E85" w:rsidRPr="00D54D64">
              <w:rPr>
                <w:color w:val="000000" w:themeColor="text1"/>
                <w:lang w:bidi="ta-IN"/>
              </w:rPr>
              <w:t>subject to</w:t>
            </w:r>
            <w:r w:rsidRPr="00D54D64">
              <w:rPr>
                <w:color w:val="000000" w:themeColor="text1"/>
                <w:lang w:bidi="ta-IN"/>
              </w:rPr>
              <w:t xml:space="preserve"> the prevailing Full Retirement Sum (FRS).</w:t>
            </w:r>
          </w:p>
          <w:p w:rsidR="008E49DF" w:rsidRPr="00D54D64" w:rsidRDefault="008E49DF" w:rsidP="008E49DF">
            <w:pPr>
              <w:jc w:val="both"/>
            </w:pPr>
            <w:r w:rsidRPr="00D54D64">
              <w:rPr>
                <w:color w:val="000000" w:themeColor="text1"/>
                <w:lang w:bidi="ta-IN"/>
              </w:rPr>
              <w:t xml:space="preserve"> </w:t>
            </w:r>
          </w:p>
          <w:p w:rsidR="008E49DF" w:rsidRPr="00D54D64" w:rsidRDefault="008E49DF" w:rsidP="008E49DF">
            <w:pPr>
              <w:jc w:val="both"/>
            </w:pPr>
            <w:r w:rsidRPr="00D54D64">
              <w:t xml:space="preserve">From 1 January 2016, </w:t>
            </w:r>
            <w:r w:rsidRPr="00D54D64">
              <w:rPr>
                <w:color w:val="000000" w:themeColor="text1"/>
                <w:lang w:bidi="ta-IN"/>
              </w:rPr>
              <w:t>the maximum amount by which a RA may be topped up to, under CPF rules</w:t>
            </w:r>
            <w:r w:rsidRPr="00D54D64">
              <w:t xml:space="preserve"> is increased</w:t>
            </w:r>
            <w:r w:rsidR="00E67E85" w:rsidRPr="00D54D64">
              <w:t>. It is now subject to</w:t>
            </w:r>
            <w:r w:rsidRPr="00D54D64">
              <w:t xml:space="preserve"> the prevailing Enhanced Retirement Sum, which is 1.5 times the FRS. </w:t>
            </w:r>
          </w:p>
          <w:p w:rsidR="008E49DF" w:rsidRPr="00D54D64" w:rsidRDefault="008E49DF" w:rsidP="008E49DF">
            <w:pPr>
              <w:jc w:val="both"/>
            </w:pPr>
          </w:p>
          <w:p w:rsidR="008E49DF" w:rsidRPr="00D54D64" w:rsidRDefault="008E49DF" w:rsidP="008E49DF">
            <w:pPr>
              <w:jc w:val="both"/>
            </w:pPr>
            <w:r w:rsidRPr="00D54D64">
              <w:t xml:space="preserve">To keep tax benefits focused on supporting basic retirement needs, the limit on tax relief for such top-ups will </w:t>
            </w:r>
            <w:r w:rsidR="00E67E85" w:rsidRPr="00D54D64">
              <w:t xml:space="preserve">still </w:t>
            </w:r>
            <w:r w:rsidRPr="00D54D64">
              <w:t xml:space="preserve">be </w:t>
            </w:r>
            <w:r w:rsidR="00E67E85" w:rsidRPr="00D54D64">
              <w:t>subject to</w:t>
            </w:r>
            <w:r w:rsidRPr="00D54D64">
              <w:t xml:space="preserve"> the prevailing FRS.</w:t>
            </w:r>
          </w:p>
          <w:p w:rsidR="000044DA" w:rsidRPr="00D54D64" w:rsidRDefault="000044DA" w:rsidP="000044DA">
            <w:pPr>
              <w:jc w:val="both"/>
            </w:pPr>
          </w:p>
        </w:tc>
        <w:tc>
          <w:tcPr>
            <w:tcW w:w="941" w:type="pct"/>
          </w:tcPr>
          <w:p w:rsidR="00695EE9" w:rsidRPr="00D54D64" w:rsidRDefault="00695EE9" w:rsidP="00001C9D">
            <w:r w:rsidRPr="00D54D64">
              <w:t>Section 39</w:t>
            </w:r>
          </w:p>
          <w:p w:rsidR="00695EE9" w:rsidRPr="00D54D64" w:rsidRDefault="00695EE9" w:rsidP="00AD7944">
            <w:r w:rsidRPr="00D54D64">
              <w:t xml:space="preserve">[Clause </w:t>
            </w:r>
            <w:r w:rsidR="00AD7944" w:rsidRPr="00D54D64">
              <w:t>24</w:t>
            </w:r>
            <w:r w:rsidRPr="00D54D64">
              <w:t>]</w:t>
            </w:r>
          </w:p>
        </w:tc>
      </w:tr>
      <w:tr w:rsidR="008E49DF" w:rsidRPr="00D54D64" w:rsidTr="007B0C8A">
        <w:trPr>
          <w:jc w:val="center"/>
        </w:trPr>
        <w:tc>
          <w:tcPr>
            <w:tcW w:w="338" w:type="pct"/>
          </w:tcPr>
          <w:p w:rsidR="008E49DF" w:rsidRPr="00D54D64" w:rsidRDefault="008E49DF">
            <w:pPr>
              <w:widowControl w:val="0"/>
              <w:numPr>
                <w:ilvl w:val="0"/>
                <w:numId w:val="26"/>
              </w:numPr>
              <w:rPr>
                <w:rFonts w:eastAsia="PMingLiU"/>
                <w:b/>
              </w:rPr>
            </w:pPr>
          </w:p>
        </w:tc>
        <w:tc>
          <w:tcPr>
            <w:tcW w:w="1142" w:type="pct"/>
            <w:shd w:val="clear" w:color="auto" w:fill="auto"/>
          </w:tcPr>
          <w:p w:rsidR="008E49DF" w:rsidRPr="00D54D64" w:rsidRDefault="008E49DF" w:rsidP="007B4AD4">
            <w:r w:rsidRPr="00D54D64">
              <w:t>Clarify and enhance the information gathering powers under the ITA (with related amendments to the Goods and Services Tax Act (“GSTA”) and the Stamp Duties Act ("SDA))</w:t>
            </w:r>
          </w:p>
        </w:tc>
        <w:tc>
          <w:tcPr>
            <w:tcW w:w="2579" w:type="pct"/>
          </w:tcPr>
          <w:p w:rsidR="008E49DF" w:rsidRPr="00D54D64" w:rsidRDefault="008E49DF" w:rsidP="00543CA0">
            <w:pPr>
              <w:jc w:val="both"/>
            </w:pPr>
            <w:r w:rsidRPr="00D54D64">
              <w:t xml:space="preserve">To provide clarity and to enhance the Comptroller’s information gathering powers under the ITA, with related amendments to the GSTA and the SDA. </w:t>
            </w:r>
          </w:p>
          <w:p w:rsidR="008E49DF" w:rsidRPr="00D54D64" w:rsidRDefault="008E49DF" w:rsidP="00543CA0">
            <w:pPr>
              <w:jc w:val="both"/>
            </w:pPr>
          </w:p>
          <w:p w:rsidR="008E49DF" w:rsidRPr="00D54D64" w:rsidRDefault="008E49DF" w:rsidP="00543CA0">
            <w:pPr>
              <w:jc w:val="both"/>
            </w:pPr>
            <w:r w:rsidRPr="00D54D64">
              <w:t xml:space="preserve">The amendments allow the Comptroller of Income Tax and his </w:t>
            </w:r>
            <w:proofErr w:type="spellStart"/>
            <w:r w:rsidRPr="00D54D64">
              <w:t>authorised</w:t>
            </w:r>
            <w:proofErr w:type="spellEnd"/>
            <w:r w:rsidRPr="00D54D64">
              <w:t xml:space="preserve"> officers to:</w:t>
            </w:r>
          </w:p>
          <w:p w:rsidR="008E49DF" w:rsidRPr="00D54D64" w:rsidRDefault="008E49DF" w:rsidP="00543CA0">
            <w:pPr>
              <w:pStyle w:val="ListParagraph"/>
              <w:numPr>
                <w:ilvl w:val="0"/>
                <w:numId w:val="30"/>
              </w:numPr>
              <w:jc w:val="both"/>
              <w:rPr>
                <w:sz w:val="24"/>
                <w:szCs w:val="24"/>
              </w:rPr>
            </w:pPr>
            <w:r w:rsidRPr="00D54D64">
              <w:rPr>
                <w:sz w:val="24"/>
                <w:szCs w:val="24"/>
              </w:rPr>
              <w:t xml:space="preserve">Require persons to attend personally before the Comptroller or an officer </w:t>
            </w:r>
            <w:proofErr w:type="spellStart"/>
            <w:r w:rsidRPr="00D54D64">
              <w:rPr>
                <w:sz w:val="24"/>
                <w:szCs w:val="24"/>
              </w:rPr>
              <w:t>authorised</w:t>
            </w:r>
            <w:proofErr w:type="spellEnd"/>
            <w:r w:rsidRPr="00D54D64">
              <w:rPr>
                <w:sz w:val="24"/>
                <w:szCs w:val="24"/>
              </w:rPr>
              <w:t xml:space="preserve"> by the Comptroller to provide information at a time and place specified by the Comptroller. </w:t>
            </w:r>
          </w:p>
          <w:p w:rsidR="008E49DF" w:rsidRPr="00D54D64" w:rsidRDefault="008E49DF" w:rsidP="00543CA0">
            <w:pPr>
              <w:pStyle w:val="ListParagraph"/>
              <w:numPr>
                <w:ilvl w:val="0"/>
                <w:numId w:val="30"/>
              </w:numPr>
              <w:jc w:val="both"/>
              <w:rPr>
                <w:sz w:val="24"/>
                <w:szCs w:val="24"/>
              </w:rPr>
            </w:pPr>
            <w:r w:rsidRPr="00D54D64">
              <w:rPr>
                <w:sz w:val="24"/>
                <w:szCs w:val="24"/>
              </w:rPr>
              <w:t xml:space="preserve">When the Comptroller or officer </w:t>
            </w:r>
            <w:proofErr w:type="spellStart"/>
            <w:r w:rsidRPr="00D54D64">
              <w:rPr>
                <w:sz w:val="24"/>
                <w:szCs w:val="24"/>
              </w:rPr>
              <w:t>authorised</w:t>
            </w:r>
            <w:proofErr w:type="spellEnd"/>
            <w:r w:rsidRPr="00D54D64">
              <w:rPr>
                <w:sz w:val="24"/>
                <w:szCs w:val="24"/>
              </w:rPr>
              <w:t xml:space="preserve"> by the Comptroller is conducting an investigation, require any person to be examined orally and provide information, if the person appears to be acquainted with the facts and circumstances concerning the person’s or another person’s income, assets or liabilities.</w:t>
            </w:r>
          </w:p>
          <w:p w:rsidR="008E49DF" w:rsidRPr="00D54D64" w:rsidRDefault="008E49DF" w:rsidP="00543CA0">
            <w:pPr>
              <w:pStyle w:val="ListParagraph"/>
              <w:numPr>
                <w:ilvl w:val="0"/>
                <w:numId w:val="30"/>
              </w:numPr>
              <w:jc w:val="both"/>
              <w:rPr>
                <w:sz w:val="24"/>
                <w:szCs w:val="24"/>
              </w:rPr>
            </w:pPr>
            <w:r w:rsidRPr="00D54D64">
              <w:rPr>
                <w:sz w:val="24"/>
                <w:szCs w:val="24"/>
              </w:rPr>
              <w:t>Enhance the penalties for failure to comply with the Comptroller’s request for information.</w:t>
            </w:r>
          </w:p>
          <w:p w:rsidR="008E49DF" w:rsidRPr="00D54D64" w:rsidRDefault="008E49DF" w:rsidP="00543CA0">
            <w:pPr>
              <w:jc w:val="both"/>
            </w:pPr>
          </w:p>
          <w:p w:rsidR="008E49DF" w:rsidRPr="00D54D64" w:rsidRDefault="008E49DF" w:rsidP="00640A9B">
            <w:pPr>
              <w:jc w:val="both"/>
            </w:pPr>
            <w:r w:rsidRPr="00D54D64">
              <w:t>Related amendments are made to the GSTA and the SDA.</w:t>
            </w:r>
          </w:p>
          <w:p w:rsidR="008E49DF" w:rsidRPr="00D54D64" w:rsidRDefault="008E49DF" w:rsidP="00640A9B">
            <w:pPr>
              <w:jc w:val="both"/>
            </w:pPr>
          </w:p>
        </w:tc>
        <w:tc>
          <w:tcPr>
            <w:tcW w:w="941" w:type="pct"/>
          </w:tcPr>
          <w:p w:rsidR="008E49DF" w:rsidRPr="00D54D64" w:rsidRDefault="008E49DF" w:rsidP="00001C9D">
            <w:r w:rsidRPr="00D54D64">
              <w:t>Sections 65, 65B, 65C and 65D</w:t>
            </w:r>
          </w:p>
          <w:p w:rsidR="008E49DF" w:rsidRPr="00D54D64" w:rsidRDefault="008E49DF" w:rsidP="00695EE9">
            <w:r w:rsidRPr="00D54D64">
              <w:t xml:space="preserve">[Clauses </w:t>
            </w:r>
            <w:r w:rsidR="00AD7944" w:rsidRPr="00D54D64">
              <w:t>44, 45, 46 and 47</w:t>
            </w:r>
            <w:r w:rsidRPr="00D54D64">
              <w:t>]</w:t>
            </w:r>
          </w:p>
          <w:p w:rsidR="008E49DF" w:rsidRPr="00D54D64" w:rsidRDefault="008E49DF" w:rsidP="00695EE9"/>
          <w:p w:rsidR="008E49DF" w:rsidRPr="00D54D64" w:rsidRDefault="008E49DF" w:rsidP="00695EE9"/>
          <w:p w:rsidR="008E49DF" w:rsidRPr="00D54D64" w:rsidRDefault="008E49DF" w:rsidP="00695EE9">
            <w:r w:rsidRPr="00D54D64">
              <w:t>Related amendment</w:t>
            </w:r>
          </w:p>
          <w:p w:rsidR="008E49DF" w:rsidRPr="00D54D64" w:rsidRDefault="008E49DF" w:rsidP="00695EE9">
            <w:r w:rsidRPr="00D54D64">
              <w:t>to the GSTA and the SDA</w:t>
            </w:r>
          </w:p>
          <w:p w:rsidR="008E49DF" w:rsidRPr="00D54D64" w:rsidRDefault="008E49DF" w:rsidP="00695EE9">
            <w:r w:rsidRPr="00D54D64">
              <w:t xml:space="preserve">[Clauses </w:t>
            </w:r>
            <w:r w:rsidR="00AD7944" w:rsidRPr="00D54D64">
              <w:t>61 and 62</w:t>
            </w:r>
            <w:r w:rsidRPr="00D54D64">
              <w:t>]</w:t>
            </w:r>
          </w:p>
          <w:p w:rsidR="008E49DF" w:rsidRPr="00D54D64" w:rsidRDefault="008E49DF" w:rsidP="00695EE9"/>
        </w:tc>
      </w:tr>
      <w:tr w:rsidR="00695EE9" w:rsidRPr="00D54D64" w:rsidTr="007B0C8A">
        <w:trPr>
          <w:jc w:val="center"/>
        </w:trPr>
        <w:tc>
          <w:tcPr>
            <w:tcW w:w="338" w:type="pct"/>
          </w:tcPr>
          <w:p w:rsidR="00695EE9" w:rsidRPr="00D54D64" w:rsidRDefault="00695EE9">
            <w:pPr>
              <w:widowControl w:val="0"/>
              <w:numPr>
                <w:ilvl w:val="0"/>
                <w:numId w:val="26"/>
              </w:numPr>
              <w:rPr>
                <w:rFonts w:eastAsia="PMingLiU"/>
                <w:b/>
              </w:rPr>
            </w:pPr>
          </w:p>
        </w:tc>
        <w:tc>
          <w:tcPr>
            <w:tcW w:w="1142" w:type="pct"/>
            <w:shd w:val="clear" w:color="auto" w:fill="auto"/>
          </w:tcPr>
          <w:p w:rsidR="00695EE9" w:rsidRPr="00D54D64" w:rsidRDefault="00057F34" w:rsidP="00057F34">
            <w:r w:rsidRPr="00D54D64">
              <w:t>Enable the Minister to make rules to waive</w:t>
            </w:r>
            <w:r w:rsidR="00695EE9" w:rsidRPr="00D54D64">
              <w:t xml:space="preserve"> the requirement to file </w:t>
            </w:r>
            <w:r w:rsidRPr="00D54D64">
              <w:t xml:space="preserve">an </w:t>
            </w:r>
            <w:r w:rsidR="00695EE9" w:rsidRPr="00D54D64">
              <w:t xml:space="preserve">estimated chargeable income </w:t>
            </w:r>
          </w:p>
        </w:tc>
        <w:tc>
          <w:tcPr>
            <w:tcW w:w="2579" w:type="pct"/>
          </w:tcPr>
          <w:p w:rsidR="00057F34" w:rsidRPr="00D54D64" w:rsidRDefault="00057F34" w:rsidP="00057F34">
            <w:pPr>
              <w:jc w:val="both"/>
              <w:rPr>
                <w:color w:val="000000" w:themeColor="text1"/>
                <w:lang w:bidi="ta-IN"/>
              </w:rPr>
            </w:pPr>
            <w:r w:rsidRPr="00D54D64">
              <w:t xml:space="preserve">To enable the Minister to make rules to exempt a person or class of persons from the requirement to file an estimated chargeable income, subject to conditions. </w:t>
            </w:r>
            <w:r w:rsidRPr="00D54D64">
              <w:rPr>
                <w:color w:val="000000" w:themeColor="text1"/>
                <w:lang w:bidi="ta-IN"/>
              </w:rPr>
              <w:t>This allows a waiver to file an estimated chargeable income (currently granted by way of administrative concession) to be granted to certain persons, subject to conditions.</w:t>
            </w:r>
          </w:p>
          <w:p w:rsidR="005D4BCA" w:rsidRPr="00D54D64" w:rsidRDefault="005D4BCA" w:rsidP="00057F34">
            <w:pPr>
              <w:jc w:val="both"/>
            </w:pPr>
          </w:p>
        </w:tc>
        <w:tc>
          <w:tcPr>
            <w:tcW w:w="941" w:type="pct"/>
          </w:tcPr>
          <w:p w:rsidR="00695EE9" w:rsidRPr="00D54D64" w:rsidRDefault="00695EE9" w:rsidP="00695EE9">
            <w:r w:rsidRPr="00D54D64">
              <w:t>Sections 63 and 71</w:t>
            </w:r>
          </w:p>
          <w:p w:rsidR="00695EE9" w:rsidRPr="00D54D64" w:rsidRDefault="00AD7944" w:rsidP="00695EE9">
            <w:r w:rsidRPr="00D54D64">
              <w:t>[Clauses 43 and 49</w:t>
            </w:r>
            <w:r w:rsidR="00695EE9" w:rsidRPr="00D54D64">
              <w:t>]</w:t>
            </w:r>
          </w:p>
          <w:p w:rsidR="00695EE9" w:rsidRPr="00D54D64" w:rsidRDefault="00695EE9" w:rsidP="00A9608F"/>
        </w:tc>
      </w:tr>
      <w:tr w:rsidR="00695EE9" w:rsidRPr="00D54D64" w:rsidTr="007B0C8A">
        <w:trPr>
          <w:jc w:val="center"/>
        </w:trPr>
        <w:tc>
          <w:tcPr>
            <w:tcW w:w="338" w:type="pct"/>
          </w:tcPr>
          <w:p w:rsidR="00695EE9" w:rsidRPr="00D54D64" w:rsidRDefault="00695EE9">
            <w:pPr>
              <w:widowControl w:val="0"/>
              <w:numPr>
                <w:ilvl w:val="0"/>
                <w:numId w:val="26"/>
              </w:numPr>
              <w:rPr>
                <w:rFonts w:eastAsia="PMingLiU"/>
                <w:b/>
              </w:rPr>
            </w:pPr>
          </w:p>
        </w:tc>
        <w:tc>
          <w:tcPr>
            <w:tcW w:w="1142" w:type="pct"/>
            <w:shd w:val="clear" w:color="auto" w:fill="auto"/>
          </w:tcPr>
          <w:p w:rsidR="00695EE9" w:rsidRPr="00D54D64" w:rsidRDefault="00695EE9" w:rsidP="00001C9D">
            <w:r w:rsidRPr="00D54D64">
              <w:t>Extend the</w:t>
            </w:r>
            <w:r w:rsidR="00057F34" w:rsidRPr="00D54D64">
              <w:t xml:space="preserve"> period by which an objection to a</w:t>
            </w:r>
            <w:r w:rsidR="00E04628" w:rsidRPr="00D54D64">
              <w:t xml:space="preserve"> tax</w:t>
            </w:r>
            <w:r w:rsidR="00057F34" w:rsidRPr="00D54D64">
              <w:t xml:space="preserve"> assessment </w:t>
            </w:r>
            <w:r w:rsidR="00926A69" w:rsidRPr="00D54D64">
              <w:t>must</w:t>
            </w:r>
            <w:r w:rsidR="00E04628" w:rsidRPr="00D54D64">
              <w:t xml:space="preserve"> </w:t>
            </w:r>
            <w:r w:rsidR="00057F34" w:rsidRPr="00D54D64">
              <w:t>be made by a company to 60 days</w:t>
            </w:r>
          </w:p>
          <w:p w:rsidR="005D4BCA" w:rsidRPr="00D54D64" w:rsidRDefault="005D4BCA" w:rsidP="00001C9D"/>
        </w:tc>
        <w:tc>
          <w:tcPr>
            <w:tcW w:w="2579" w:type="pct"/>
          </w:tcPr>
          <w:p w:rsidR="00E04628" w:rsidRPr="00D54D64" w:rsidRDefault="00E04628" w:rsidP="00E04628">
            <w:pPr>
              <w:jc w:val="both"/>
            </w:pPr>
            <w:r w:rsidRPr="00D54D64">
              <w:t xml:space="preserve">To extend </w:t>
            </w:r>
            <w:r w:rsidRPr="00D54D64">
              <w:rPr>
                <w:lang w:bidi="ta-IN"/>
              </w:rPr>
              <w:t xml:space="preserve">the period by which a notice of objection to a tax assessment must be made by a company, </w:t>
            </w:r>
            <w:r w:rsidRPr="00D54D64">
              <w:t xml:space="preserve">from 30 days </w:t>
            </w:r>
            <w:r w:rsidR="00926A69" w:rsidRPr="00D54D64">
              <w:t xml:space="preserve">as </w:t>
            </w:r>
            <w:r w:rsidRPr="00D54D64">
              <w:t xml:space="preserve">currently specified in </w:t>
            </w:r>
            <w:r w:rsidR="00926A69" w:rsidRPr="00D54D64">
              <w:t>S</w:t>
            </w:r>
            <w:r w:rsidRPr="00D54D64">
              <w:t xml:space="preserve">ection </w:t>
            </w:r>
            <w:r w:rsidR="00926A69" w:rsidRPr="00D54D64">
              <w:t>76</w:t>
            </w:r>
            <w:r w:rsidRPr="00D54D64">
              <w:t xml:space="preserve">(3), to 60 days </w:t>
            </w:r>
            <w:r w:rsidRPr="00D54D64">
              <w:rPr>
                <w:lang w:bidi="ta-IN"/>
              </w:rPr>
              <w:t xml:space="preserve">from the date of service of the notice of assessment </w:t>
            </w:r>
            <w:r w:rsidRPr="00D54D64">
              <w:rPr>
                <w:color w:val="000000" w:themeColor="text1"/>
                <w:lang w:bidi="ta-IN"/>
              </w:rPr>
              <w:t>(currently granted by way of administrative concession)</w:t>
            </w:r>
            <w:r w:rsidRPr="00D54D64">
              <w:t>.</w:t>
            </w:r>
            <w:r w:rsidR="00926A69" w:rsidRPr="00D54D64">
              <w:t xml:space="preserve"> </w:t>
            </w:r>
          </w:p>
          <w:p w:rsidR="00E04628" w:rsidRPr="00D54D64" w:rsidRDefault="00E04628" w:rsidP="00E04628">
            <w:pPr>
              <w:jc w:val="both"/>
              <w:rPr>
                <w:lang w:bidi="ta-IN"/>
              </w:rPr>
            </w:pPr>
          </w:p>
          <w:p w:rsidR="00E04628" w:rsidRPr="00D54D64" w:rsidRDefault="00E04628" w:rsidP="00926A69">
            <w:pPr>
              <w:jc w:val="both"/>
              <w:rPr>
                <w:lang w:bidi="ta-IN"/>
              </w:rPr>
            </w:pPr>
            <w:r w:rsidRPr="00D54D64">
              <w:rPr>
                <w:lang w:bidi="ta-IN"/>
              </w:rPr>
              <w:t xml:space="preserve">In addition, </w:t>
            </w:r>
            <w:r w:rsidR="00926A69" w:rsidRPr="00D54D64">
              <w:rPr>
                <w:lang w:bidi="ta-IN"/>
              </w:rPr>
              <w:t>S</w:t>
            </w:r>
            <w:r w:rsidRPr="00D54D64">
              <w:rPr>
                <w:lang w:bidi="ta-IN"/>
              </w:rPr>
              <w:t xml:space="preserve">ection 76 </w:t>
            </w:r>
            <w:r w:rsidR="00A76D6A" w:rsidRPr="00D54D64">
              <w:rPr>
                <w:lang w:bidi="ta-IN"/>
              </w:rPr>
              <w:t>is</w:t>
            </w:r>
            <w:r w:rsidR="00926A69" w:rsidRPr="00D54D64">
              <w:rPr>
                <w:lang w:bidi="ta-IN"/>
              </w:rPr>
              <w:t xml:space="preserve"> </w:t>
            </w:r>
            <w:r w:rsidRPr="00D54D64">
              <w:rPr>
                <w:lang w:bidi="ta-IN"/>
              </w:rPr>
              <w:t xml:space="preserve">amended to enable the Minister to make rules to substitute the period in </w:t>
            </w:r>
            <w:r w:rsidR="00926A69" w:rsidRPr="00D54D64">
              <w:rPr>
                <w:lang w:bidi="ta-IN"/>
              </w:rPr>
              <w:t xml:space="preserve">subsection </w:t>
            </w:r>
            <w:r w:rsidRPr="00D54D64">
              <w:rPr>
                <w:lang w:bidi="ta-IN"/>
              </w:rPr>
              <w:t>(3) by which a notice of objection to an assessment must be made, for all persons or cases, a person or case or a class of persons or cases.</w:t>
            </w:r>
          </w:p>
          <w:p w:rsidR="00926A69" w:rsidRPr="00D54D64" w:rsidRDefault="00926A69" w:rsidP="00926A69">
            <w:pPr>
              <w:jc w:val="both"/>
            </w:pPr>
          </w:p>
        </w:tc>
        <w:tc>
          <w:tcPr>
            <w:tcW w:w="941" w:type="pct"/>
          </w:tcPr>
          <w:p w:rsidR="00695EE9" w:rsidRPr="00D54D64" w:rsidRDefault="00695EE9" w:rsidP="00001C9D">
            <w:r w:rsidRPr="00D54D64">
              <w:t>Section 76</w:t>
            </w:r>
          </w:p>
          <w:p w:rsidR="00695EE9" w:rsidRPr="00D54D64" w:rsidRDefault="00695EE9" w:rsidP="00AD7944">
            <w:r w:rsidRPr="00D54D64">
              <w:t xml:space="preserve">[Clause </w:t>
            </w:r>
            <w:r w:rsidR="00AD7944" w:rsidRPr="00D54D64">
              <w:t>50</w:t>
            </w:r>
            <w:r w:rsidRPr="00D54D64">
              <w:t>]</w:t>
            </w:r>
          </w:p>
        </w:tc>
      </w:tr>
      <w:tr w:rsidR="00695EE9" w:rsidRPr="00D54D64" w:rsidTr="007B0C8A">
        <w:trPr>
          <w:jc w:val="center"/>
        </w:trPr>
        <w:tc>
          <w:tcPr>
            <w:tcW w:w="338" w:type="pct"/>
            <w:tcBorders>
              <w:bottom w:val="single" w:sz="4" w:space="0" w:color="auto"/>
            </w:tcBorders>
          </w:tcPr>
          <w:p w:rsidR="00695EE9" w:rsidRPr="00D54D64" w:rsidRDefault="00695EE9">
            <w:pPr>
              <w:widowControl w:val="0"/>
              <w:numPr>
                <w:ilvl w:val="0"/>
                <w:numId w:val="26"/>
              </w:numPr>
              <w:rPr>
                <w:rFonts w:eastAsia="PMingLiU"/>
                <w:b/>
                <w:lang w:val="en-SG"/>
              </w:rPr>
            </w:pPr>
          </w:p>
        </w:tc>
        <w:tc>
          <w:tcPr>
            <w:tcW w:w="1142" w:type="pct"/>
            <w:tcBorders>
              <w:bottom w:val="single" w:sz="4" w:space="0" w:color="auto"/>
            </w:tcBorders>
            <w:shd w:val="clear" w:color="auto" w:fill="auto"/>
          </w:tcPr>
          <w:p w:rsidR="00926A69" w:rsidRPr="00D54D64" w:rsidRDefault="00926A69" w:rsidP="00926A69">
            <w:r w:rsidRPr="00D54D64">
              <w:t>Enable the Comptroller to waive the requirement or extend the due date for an employer to seek tax clearance for a non-Singapore citizen employee who is ceasing employment or leaving Singapore</w:t>
            </w:r>
          </w:p>
          <w:p w:rsidR="00A76D6A" w:rsidRPr="00D54D64" w:rsidRDefault="00A76D6A" w:rsidP="00926A69"/>
        </w:tc>
        <w:tc>
          <w:tcPr>
            <w:tcW w:w="2579" w:type="pct"/>
            <w:tcBorders>
              <w:bottom w:val="single" w:sz="4" w:space="0" w:color="auto"/>
            </w:tcBorders>
          </w:tcPr>
          <w:p w:rsidR="00926A69" w:rsidRPr="00D54D64" w:rsidRDefault="00926A69" w:rsidP="00926A69">
            <w:pPr>
              <w:jc w:val="both"/>
            </w:pPr>
            <w:r w:rsidRPr="00D54D64">
              <w:t>To enable the Comptroller to, in any particular case or class of cases, waive the requirement or extend the due date for an employer to give a notice to the Comptroller that he is ceasing to employ an individual who is not a Singapore citizen or that his employee who is not a Singapore citizen, is leaving Singapore (currently granted by way of administrative concession).</w:t>
            </w:r>
          </w:p>
        </w:tc>
        <w:tc>
          <w:tcPr>
            <w:tcW w:w="941" w:type="pct"/>
            <w:tcBorders>
              <w:bottom w:val="single" w:sz="4" w:space="0" w:color="auto"/>
            </w:tcBorders>
          </w:tcPr>
          <w:p w:rsidR="00695EE9" w:rsidRPr="00D54D64" w:rsidRDefault="00695EE9" w:rsidP="00001C9D">
            <w:r w:rsidRPr="00D54D64">
              <w:t>Section 68</w:t>
            </w:r>
          </w:p>
          <w:p w:rsidR="00695EE9" w:rsidRPr="00D54D64" w:rsidRDefault="00695EE9" w:rsidP="00AD7944">
            <w:r w:rsidRPr="00D54D64">
              <w:t xml:space="preserve">[Clause </w:t>
            </w:r>
            <w:r w:rsidR="00AD7944" w:rsidRPr="00D54D64">
              <w:t>48</w:t>
            </w:r>
            <w:r w:rsidRPr="00D54D64">
              <w:t>]</w:t>
            </w:r>
          </w:p>
        </w:tc>
      </w:tr>
      <w:tr w:rsidR="00695EE9" w:rsidRPr="00D54D64" w:rsidTr="007B0C8A">
        <w:trPr>
          <w:jc w:val="center"/>
        </w:trPr>
        <w:tc>
          <w:tcPr>
            <w:tcW w:w="338" w:type="pct"/>
            <w:tcBorders>
              <w:bottom w:val="single" w:sz="4" w:space="0" w:color="auto"/>
            </w:tcBorders>
            <w:shd w:val="clear" w:color="auto" w:fill="auto"/>
          </w:tcPr>
          <w:p w:rsidR="00695EE9" w:rsidRPr="00D54D64" w:rsidRDefault="00695EE9">
            <w:pPr>
              <w:widowControl w:val="0"/>
              <w:numPr>
                <w:ilvl w:val="0"/>
                <w:numId w:val="26"/>
              </w:numPr>
              <w:rPr>
                <w:rFonts w:eastAsia="PMingLiU"/>
                <w:b/>
                <w:lang w:val="en-SG"/>
              </w:rPr>
            </w:pPr>
          </w:p>
        </w:tc>
        <w:tc>
          <w:tcPr>
            <w:tcW w:w="1142" w:type="pct"/>
            <w:tcBorders>
              <w:bottom w:val="single" w:sz="4" w:space="0" w:color="auto"/>
            </w:tcBorders>
            <w:shd w:val="clear" w:color="auto" w:fill="auto"/>
          </w:tcPr>
          <w:p w:rsidR="00926A69" w:rsidRPr="00D54D64" w:rsidRDefault="00926A69" w:rsidP="00204099">
            <w:r w:rsidRPr="00D54D64">
              <w:t>Enable the Comptroller to waive the requirement for partners to seek tax clearance for a ceasing or departing partner</w:t>
            </w:r>
          </w:p>
          <w:p w:rsidR="00177128" w:rsidRPr="00D54D64" w:rsidRDefault="00177128" w:rsidP="00204099"/>
        </w:tc>
        <w:tc>
          <w:tcPr>
            <w:tcW w:w="2579" w:type="pct"/>
            <w:tcBorders>
              <w:bottom w:val="single" w:sz="4" w:space="0" w:color="auto"/>
            </w:tcBorders>
            <w:shd w:val="clear" w:color="auto" w:fill="auto"/>
          </w:tcPr>
          <w:p w:rsidR="00926A69" w:rsidRPr="00D54D64" w:rsidRDefault="00926A69" w:rsidP="003B2260">
            <w:pPr>
              <w:jc w:val="both"/>
            </w:pPr>
            <w:r w:rsidRPr="00D54D64">
              <w:t>To enable the Comptroller to, in any particular case or class of cases, waive the requirement for partners to give a notice to the Comptroller that another partner is ceasing to be one or is leaving Singapore (currently granted by way of administrative concession).</w:t>
            </w:r>
          </w:p>
        </w:tc>
        <w:tc>
          <w:tcPr>
            <w:tcW w:w="941" w:type="pct"/>
            <w:tcBorders>
              <w:bottom w:val="single" w:sz="4" w:space="0" w:color="auto"/>
            </w:tcBorders>
            <w:shd w:val="clear" w:color="auto" w:fill="auto"/>
          </w:tcPr>
          <w:p w:rsidR="00695EE9" w:rsidRPr="00D54D64" w:rsidRDefault="00695EE9" w:rsidP="00001C9D">
            <w:r w:rsidRPr="00D54D64">
              <w:t>Section 68</w:t>
            </w:r>
          </w:p>
          <w:p w:rsidR="00695EE9" w:rsidRPr="00D54D64" w:rsidRDefault="00695EE9" w:rsidP="00AD7944">
            <w:r w:rsidRPr="00D54D64">
              <w:t xml:space="preserve">[Clause </w:t>
            </w:r>
            <w:r w:rsidR="00AD7944" w:rsidRPr="00D54D64">
              <w:t>48</w:t>
            </w:r>
            <w:r w:rsidRPr="00D54D64">
              <w:t>]</w:t>
            </w:r>
          </w:p>
        </w:tc>
      </w:tr>
      <w:tr w:rsidR="00695EE9" w:rsidRPr="00D54D64" w:rsidTr="007B0C8A">
        <w:trPr>
          <w:jc w:val="center"/>
        </w:trPr>
        <w:tc>
          <w:tcPr>
            <w:tcW w:w="338" w:type="pct"/>
            <w:tcBorders>
              <w:bottom w:val="single" w:sz="4" w:space="0" w:color="auto"/>
            </w:tcBorders>
            <w:shd w:val="clear" w:color="auto" w:fill="auto"/>
          </w:tcPr>
          <w:p w:rsidR="00695EE9" w:rsidRPr="00D54D64" w:rsidRDefault="00695EE9" w:rsidP="009E408C">
            <w:pPr>
              <w:widowControl w:val="0"/>
              <w:numPr>
                <w:ilvl w:val="0"/>
                <w:numId w:val="26"/>
              </w:numPr>
              <w:rPr>
                <w:rFonts w:eastAsia="PMingLiU"/>
                <w:b/>
              </w:rPr>
            </w:pPr>
          </w:p>
        </w:tc>
        <w:tc>
          <w:tcPr>
            <w:tcW w:w="1142" w:type="pct"/>
            <w:tcBorders>
              <w:bottom w:val="single" w:sz="4" w:space="0" w:color="auto"/>
            </w:tcBorders>
            <w:shd w:val="clear" w:color="auto" w:fill="auto"/>
          </w:tcPr>
          <w:p w:rsidR="00926A69" w:rsidRPr="00D54D64" w:rsidRDefault="00815A36" w:rsidP="00001C9D">
            <w:r w:rsidRPr="00D54D64">
              <w:t>E</w:t>
            </w:r>
            <w:r w:rsidR="00926A69" w:rsidRPr="00D54D64">
              <w:t>xtend the Comptroller’s authority to allow extension of time to give notification of and to make payment of the deducted tax</w:t>
            </w:r>
            <w:r w:rsidRPr="00D54D64">
              <w:t xml:space="preserve"> and enable the Minister to make rules to prescribe a different withholding tax rate from that set out in Section 45 in respect of any person or class of persons</w:t>
            </w:r>
          </w:p>
          <w:p w:rsidR="00177128" w:rsidRPr="00D54D64" w:rsidRDefault="00177128" w:rsidP="00001C9D"/>
        </w:tc>
        <w:tc>
          <w:tcPr>
            <w:tcW w:w="2579" w:type="pct"/>
            <w:tcBorders>
              <w:bottom w:val="single" w:sz="4" w:space="0" w:color="auto"/>
            </w:tcBorders>
            <w:shd w:val="clear" w:color="auto" w:fill="auto"/>
          </w:tcPr>
          <w:p w:rsidR="00815A36" w:rsidRPr="00D54D64" w:rsidRDefault="00815A36" w:rsidP="00177128">
            <w:pPr>
              <w:jc w:val="both"/>
              <w:rPr>
                <w:color w:val="000000" w:themeColor="text1"/>
                <w:lang w:bidi="ta-IN"/>
              </w:rPr>
            </w:pPr>
            <w:r w:rsidRPr="00D54D64">
              <w:rPr>
                <w:color w:val="000000" w:themeColor="text1"/>
                <w:lang w:bidi="ta-IN"/>
              </w:rPr>
              <w:t>Comptroller’s authority is extended to allow any person or class of persons (besides banks and financial institutions) to give notification of and to make payment to the Comptroller of the deducted tax within a different period from that specified in the section, subject to conditions.</w:t>
            </w:r>
          </w:p>
          <w:p w:rsidR="00815A36" w:rsidRPr="00D54D64" w:rsidRDefault="00815A36" w:rsidP="00177128">
            <w:pPr>
              <w:jc w:val="both"/>
            </w:pPr>
          </w:p>
          <w:p w:rsidR="005D402C" w:rsidRPr="00D54D64" w:rsidRDefault="00815A36" w:rsidP="00815A36">
            <w:pPr>
              <w:jc w:val="both"/>
              <w:rPr>
                <w:color w:val="000000" w:themeColor="text1"/>
                <w:lang w:bidi="ta-IN"/>
              </w:rPr>
            </w:pPr>
            <w:r w:rsidRPr="00D54D64">
              <w:t>In addition, amendment is made t</w:t>
            </w:r>
            <w:r w:rsidR="005D402C" w:rsidRPr="00D54D64">
              <w:t xml:space="preserve">o </w:t>
            </w:r>
            <w:r w:rsidR="005D402C" w:rsidRPr="00D54D64">
              <w:rPr>
                <w:color w:val="000000" w:themeColor="text1"/>
                <w:lang w:bidi="ta-IN"/>
              </w:rPr>
              <w:t xml:space="preserve">enable the Minister to make rules to prescribe a different withholding tax rate from that set out in Section 45 in respect of any person or class of persons. This allows a lower withholding tax rate or a waiver of withholding tax (currently granted by way of administrative concession) to be prescribed in respect of certain payments to non-resident persons.  </w:t>
            </w:r>
          </w:p>
          <w:p w:rsidR="00815A36" w:rsidRPr="00D54D64" w:rsidRDefault="00815A36" w:rsidP="00815A36">
            <w:pPr>
              <w:jc w:val="both"/>
              <w:rPr>
                <w:color w:val="000000" w:themeColor="text1"/>
                <w:lang w:bidi="ta-IN"/>
              </w:rPr>
            </w:pPr>
          </w:p>
        </w:tc>
        <w:tc>
          <w:tcPr>
            <w:tcW w:w="941" w:type="pct"/>
            <w:tcBorders>
              <w:bottom w:val="single" w:sz="4" w:space="0" w:color="auto"/>
            </w:tcBorders>
            <w:shd w:val="clear" w:color="auto" w:fill="auto"/>
          </w:tcPr>
          <w:p w:rsidR="00695EE9" w:rsidRPr="00D54D64" w:rsidRDefault="00695EE9" w:rsidP="00001C9D">
            <w:r w:rsidRPr="00D54D64">
              <w:t>Section 45</w:t>
            </w:r>
          </w:p>
          <w:p w:rsidR="00695EE9" w:rsidRPr="00D54D64" w:rsidRDefault="00695EE9" w:rsidP="00AD7944">
            <w:r w:rsidRPr="00D54D64">
              <w:t xml:space="preserve">[Clause </w:t>
            </w:r>
            <w:r w:rsidR="00AD7944" w:rsidRPr="00D54D64">
              <w:t>39</w:t>
            </w:r>
            <w:r w:rsidRPr="00D54D64">
              <w:t>]</w:t>
            </w:r>
          </w:p>
        </w:tc>
      </w:tr>
      <w:tr w:rsidR="00695EE9" w:rsidRPr="00D54D64" w:rsidTr="007B0C8A">
        <w:trPr>
          <w:jc w:val="center"/>
        </w:trPr>
        <w:tc>
          <w:tcPr>
            <w:tcW w:w="338" w:type="pct"/>
            <w:tcBorders>
              <w:bottom w:val="single" w:sz="4" w:space="0" w:color="auto"/>
            </w:tcBorders>
            <w:shd w:val="clear" w:color="auto" w:fill="auto"/>
          </w:tcPr>
          <w:p w:rsidR="00695EE9" w:rsidRPr="00D54D64" w:rsidRDefault="00695EE9">
            <w:pPr>
              <w:widowControl w:val="0"/>
              <w:numPr>
                <w:ilvl w:val="0"/>
                <w:numId w:val="26"/>
              </w:numPr>
              <w:rPr>
                <w:rFonts w:eastAsia="PMingLiU"/>
                <w:b/>
              </w:rPr>
            </w:pPr>
          </w:p>
        </w:tc>
        <w:tc>
          <w:tcPr>
            <w:tcW w:w="1142" w:type="pct"/>
            <w:tcBorders>
              <w:bottom w:val="single" w:sz="4" w:space="0" w:color="auto"/>
            </w:tcBorders>
            <w:shd w:val="clear" w:color="auto" w:fill="auto"/>
          </w:tcPr>
          <w:p w:rsidR="00695EE9" w:rsidRPr="00D54D64" w:rsidRDefault="00695EE9" w:rsidP="00695EE9">
            <w:r w:rsidRPr="00D54D64">
              <w:t>Amend conditions for section 13(12) exemption on foreign-sourced income received by REITS</w:t>
            </w:r>
          </w:p>
          <w:p w:rsidR="00695EE9" w:rsidRPr="00D54D64" w:rsidRDefault="00695EE9" w:rsidP="00B85FB9">
            <w:pPr>
              <w:jc w:val="both"/>
            </w:pPr>
          </w:p>
        </w:tc>
        <w:tc>
          <w:tcPr>
            <w:tcW w:w="2579" w:type="pct"/>
            <w:tcBorders>
              <w:bottom w:val="single" w:sz="4" w:space="0" w:color="auto"/>
            </w:tcBorders>
            <w:shd w:val="clear" w:color="auto" w:fill="auto"/>
          </w:tcPr>
          <w:p w:rsidR="00695EE9" w:rsidRPr="00D54D64" w:rsidRDefault="00695EE9" w:rsidP="00695EE9">
            <w:pPr>
              <w:pStyle w:val="Default"/>
              <w:jc w:val="both"/>
              <w:rPr>
                <w:color w:val="auto"/>
              </w:rPr>
            </w:pPr>
            <w:r w:rsidRPr="00D54D64">
              <w:rPr>
                <w:color w:val="auto"/>
              </w:rPr>
              <w:t xml:space="preserve">To clarify that qualifying foreign-sourced income </w:t>
            </w:r>
            <w:r w:rsidR="00632634" w:rsidRPr="00D54D64">
              <w:rPr>
                <w:color w:val="auto"/>
              </w:rPr>
              <w:t xml:space="preserve">airing </w:t>
            </w:r>
            <w:r w:rsidR="00177128" w:rsidRPr="00D54D64">
              <w:rPr>
                <w:color w:val="auto"/>
              </w:rPr>
              <w:t xml:space="preserve">from a foreign property </w:t>
            </w:r>
            <w:r w:rsidRPr="00D54D64">
              <w:rPr>
                <w:color w:val="auto"/>
              </w:rPr>
              <w:t xml:space="preserve">remitted </w:t>
            </w:r>
            <w:r w:rsidR="00177128" w:rsidRPr="00D54D64">
              <w:rPr>
                <w:color w:val="auto"/>
              </w:rPr>
              <w:t xml:space="preserve">by a </w:t>
            </w:r>
            <w:r w:rsidRPr="00D54D64">
              <w:rPr>
                <w:color w:val="auto"/>
              </w:rPr>
              <w:t xml:space="preserve">REIT or its subsidiary in Singapore after the property has been sold will qualify for </w:t>
            </w:r>
            <w:r w:rsidR="00177128" w:rsidRPr="00D54D64">
              <w:rPr>
                <w:color w:val="auto"/>
              </w:rPr>
              <w:t xml:space="preserve">tax exemption under </w:t>
            </w:r>
            <w:r w:rsidRPr="00D54D64">
              <w:rPr>
                <w:color w:val="auto"/>
              </w:rPr>
              <w:t>section 13(12), so long as the property was beneficially owned until the date of disposal of that property</w:t>
            </w:r>
          </w:p>
          <w:p w:rsidR="00695EE9" w:rsidRPr="00D54D64" w:rsidRDefault="00695EE9" w:rsidP="00695EE9">
            <w:pPr>
              <w:jc w:val="both"/>
              <w:rPr>
                <w:lang w:val="en-GB" w:eastAsia="en-SG"/>
              </w:rPr>
            </w:pPr>
          </w:p>
        </w:tc>
        <w:tc>
          <w:tcPr>
            <w:tcW w:w="941" w:type="pct"/>
            <w:tcBorders>
              <w:bottom w:val="single" w:sz="4" w:space="0" w:color="auto"/>
            </w:tcBorders>
            <w:shd w:val="clear" w:color="auto" w:fill="auto"/>
          </w:tcPr>
          <w:p w:rsidR="00695EE9" w:rsidRPr="00D54D64" w:rsidRDefault="00695EE9" w:rsidP="00001C9D">
            <w:r w:rsidRPr="00D54D64">
              <w:t>Section 13</w:t>
            </w:r>
          </w:p>
          <w:p w:rsidR="00695EE9" w:rsidRPr="00D54D64" w:rsidRDefault="00695EE9" w:rsidP="00AD7944">
            <w:r w:rsidRPr="00D54D64">
              <w:t xml:space="preserve">[Clause </w:t>
            </w:r>
            <w:r w:rsidR="00AD7944" w:rsidRPr="00D54D64">
              <w:t>5</w:t>
            </w:r>
            <w:r w:rsidRPr="00D54D64">
              <w:t>]</w:t>
            </w:r>
          </w:p>
        </w:tc>
      </w:tr>
      <w:tr w:rsidR="00695EE9" w:rsidRPr="00D54D64" w:rsidTr="007B0C8A">
        <w:trPr>
          <w:jc w:val="center"/>
        </w:trPr>
        <w:tc>
          <w:tcPr>
            <w:tcW w:w="338" w:type="pct"/>
            <w:shd w:val="clear" w:color="auto" w:fill="auto"/>
          </w:tcPr>
          <w:p w:rsidR="00695EE9" w:rsidRPr="00D54D64" w:rsidRDefault="00695EE9">
            <w:pPr>
              <w:widowControl w:val="0"/>
              <w:numPr>
                <w:ilvl w:val="0"/>
                <w:numId w:val="26"/>
              </w:numPr>
              <w:rPr>
                <w:rFonts w:eastAsia="PMingLiU"/>
                <w:b/>
              </w:rPr>
            </w:pPr>
          </w:p>
        </w:tc>
        <w:tc>
          <w:tcPr>
            <w:tcW w:w="1142" w:type="pct"/>
            <w:shd w:val="clear" w:color="auto" w:fill="auto"/>
          </w:tcPr>
          <w:p w:rsidR="008E49DF" w:rsidRPr="00D54D64" w:rsidRDefault="008E49DF" w:rsidP="008E49DF">
            <w:pPr>
              <w:rPr>
                <w:szCs w:val="26"/>
              </w:rPr>
            </w:pPr>
            <w:r w:rsidRPr="00D54D64">
              <w:rPr>
                <w:szCs w:val="26"/>
              </w:rPr>
              <w:t>Amend the definitions of “general contribution” and “medical expenses” in section 14(8)</w:t>
            </w:r>
          </w:p>
          <w:p w:rsidR="00695EE9" w:rsidRPr="00D54D64" w:rsidRDefault="00695EE9" w:rsidP="00A85A70">
            <w:pPr>
              <w:jc w:val="both"/>
              <w:rPr>
                <w:rFonts w:eastAsiaTheme="minorEastAsia"/>
              </w:rPr>
            </w:pPr>
          </w:p>
        </w:tc>
        <w:tc>
          <w:tcPr>
            <w:tcW w:w="2579" w:type="pct"/>
            <w:shd w:val="clear" w:color="auto" w:fill="auto"/>
          </w:tcPr>
          <w:p w:rsidR="008E49DF" w:rsidRPr="00D54D64" w:rsidRDefault="008E49DF" w:rsidP="008E49DF">
            <w:pPr>
              <w:jc w:val="both"/>
              <w:rPr>
                <w:szCs w:val="26"/>
              </w:rPr>
            </w:pPr>
            <w:r w:rsidRPr="00D54D64">
              <w:t xml:space="preserve">Consequential amendments are made to include in these definitions, with effect from 28 November 2013, a contribution by an employer to an employee’s </w:t>
            </w:r>
            <w:proofErr w:type="spellStart"/>
            <w:r w:rsidRPr="00D54D64">
              <w:t>Medisave</w:t>
            </w:r>
            <w:proofErr w:type="spellEnd"/>
            <w:r w:rsidRPr="00D54D64">
              <w:t xml:space="preserve"> </w:t>
            </w:r>
            <w:r w:rsidR="0051272C">
              <w:t>A</w:t>
            </w:r>
            <w:r w:rsidRPr="00D54D64">
              <w:t>ccount under Section 14(1</w:t>
            </w:r>
            <w:proofErr w:type="gramStart"/>
            <w:r w:rsidRPr="00D54D64">
              <w:t>)(</w:t>
            </w:r>
            <w:proofErr w:type="spellStart"/>
            <w:proofErr w:type="gramEnd"/>
            <w:r w:rsidRPr="00D54D64">
              <w:t>fb</w:t>
            </w:r>
            <w:proofErr w:type="spellEnd"/>
            <w:r w:rsidRPr="00D54D64">
              <w:t>). These arose from the amendments to subsection (1</w:t>
            </w:r>
            <w:proofErr w:type="gramStart"/>
            <w:r w:rsidRPr="00D54D64">
              <w:t>)(</w:t>
            </w:r>
            <w:proofErr w:type="gramEnd"/>
            <w:r w:rsidRPr="00D54D64">
              <w:t>f) and the insertion of subsection (1)(</w:t>
            </w:r>
            <w:proofErr w:type="spellStart"/>
            <w:r w:rsidRPr="00D54D64">
              <w:t>fb</w:t>
            </w:r>
            <w:proofErr w:type="spellEnd"/>
            <w:r w:rsidRPr="00D54D64">
              <w:t xml:space="preserve">) in the Income Tax (Amendment) Act 2013. </w:t>
            </w:r>
            <w:r w:rsidRPr="00D54D64">
              <w:rPr>
                <w:szCs w:val="26"/>
              </w:rPr>
              <w:t>These terms are used for the purpose of Section 14(5), (6), (6A) and (6B) to determine how much of an employer’s medical expenses may be allowed as a deduction.</w:t>
            </w:r>
          </w:p>
          <w:p w:rsidR="005D402C" w:rsidRPr="00D54D64" w:rsidRDefault="005D402C" w:rsidP="008E49DF">
            <w:pPr>
              <w:jc w:val="both"/>
            </w:pPr>
          </w:p>
        </w:tc>
        <w:tc>
          <w:tcPr>
            <w:tcW w:w="941" w:type="pct"/>
            <w:shd w:val="clear" w:color="auto" w:fill="auto"/>
          </w:tcPr>
          <w:p w:rsidR="00695EE9" w:rsidRPr="00D54D64" w:rsidRDefault="00C13C71" w:rsidP="00001C9D">
            <w:r w:rsidRPr="00D54D64">
              <w:t>Section 14</w:t>
            </w:r>
          </w:p>
          <w:p w:rsidR="00695EE9" w:rsidRPr="00D54D64" w:rsidRDefault="00C13C71" w:rsidP="00AD7944">
            <w:r w:rsidRPr="00D54D64">
              <w:t xml:space="preserve">[Clause </w:t>
            </w:r>
            <w:r w:rsidR="00AD7944" w:rsidRPr="00D54D64">
              <w:t>12</w:t>
            </w:r>
            <w:r w:rsidR="00695EE9" w:rsidRPr="00D54D64">
              <w:t>]</w:t>
            </w:r>
          </w:p>
        </w:tc>
      </w:tr>
      <w:tr w:rsidR="00C13C71" w:rsidRPr="00D54D64" w:rsidTr="007B0C8A">
        <w:trPr>
          <w:jc w:val="center"/>
        </w:trPr>
        <w:tc>
          <w:tcPr>
            <w:tcW w:w="338" w:type="pct"/>
            <w:shd w:val="clear" w:color="auto" w:fill="auto"/>
          </w:tcPr>
          <w:p w:rsidR="00C13C71" w:rsidRPr="00D54D64" w:rsidRDefault="00C13C71">
            <w:pPr>
              <w:widowControl w:val="0"/>
              <w:numPr>
                <w:ilvl w:val="0"/>
                <w:numId w:val="26"/>
              </w:numPr>
              <w:rPr>
                <w:rFonts w:eastAsia="PMingLiU"/>
                <w:b/>
              </w:rPr>
            </w:pPr>
          </w:p>
        </w:tc>
        <w:tc>
          <w:tcPr>
            <w:tcW w:w="1142" w:type="pct"/>
            <w:shd w:val="clear" w:color="auto" w:fill="auto"/>
          </w:tcPr>
          <w:p w:rsidR="00C13C71" w:rsidRPr="00D54D64" w:rsidRDefault="00C13C71" w:rsidP="008B30FA">
            <w:pPr>
              <w:jc w:val="both"/>
            </w:pPr>
            <w:r w:rsidRPr="00D54D64">
              <w:t>Amend the definition of “tax relief period” for income derived from managing approved venture company</w:t>
            </w:r>
          </w:p>
        </w:tc>
        <w:tc>
          <w:tcPr>
            <w:tcW w:w="2579" w:type="pct"/>
            <w:shd w:val="clear" w:color="auto" w:fill="auto"/>
          </w:tcPr>
          <w:p w:rsidR="00C13C71" w:rsidRPr="00D54D64" w:rsidRDefault="00C13C71" w:rsidP="00C13C71">
            <w:pPr>
              <w:pStyle w:val="Default"/>
              <w:jc w:val="both"/>
              <w:rPr>
                <w:color w:val="auto"/>
              </w:rPr>
            </w:pPr>
            <w:r w:rsidRPr="00D54D64">
              <w:rPr>
                <w:color w:val="auto"/>
              </w:rPr>
              <w:t>Consequential amendment</w:t>
            </w:r>
            <w:r w:rsidR="00177128" w:rsidRPr="00D54D64">
              <w:rPr>
                <w:color w:val="auto"/>
              </w:rPr>
              <w:t>s</w:t>
            </w:r>
            <w:r w:rsidRPr="00D54D64">
              <w:rPr>
                <w:color w:val="auto"/>
              </w:rPr>
              <w:t xml:space="preserve"> to make reference to the Economic Expansion Incentives (Relief from Income Tax) Act in force before the Economic Expansion Incentives (Amendment) Act 2016 arising from the repeal of Section 18 of the Economic Expansion Incentives (Relief from Income Tax) Act by the Economic Expansion Incentives (Relief from Income Tax) (Amendment) Act 2016</w:t>
            </w:r>
            <w:r w:rsidR="00177128" w:rsidRPr="00D54D64">
              <w:rPr>
                <w:color w:val="auto"/>
              </w:rPr>
              <w:t xml:space="preserve"> (Act 11 of 2016)</w:t>
            </w:r>
            <w:r w:rsidRPr="00D54D64">
              <w:rPr>
                <w:color w:val="auto"/>
              </w:rPr>
              <w:t>.</w:t>
            </w:r>
          </w:p>
          <w:p w:rsidR="00C13C71" w:rsidRPr="00D54D64" w:rsidRDefault="00C13C71" w:rsidP="00810A72">
            <w:pPr>
              <w:autoSpaceDE w:val="0"/>
              <w:autoSpaceDN w:val="0"/>
              <w:jc w:val="both"/>
              <w:rPr>
                <w:lang w:val="en-GB"/>
              </w:rPr>
            </w:pPr>
          </w:p>
        </w:tc>
        <w:tc>
          <w:tcPr>
            <w:tcW w:w="941" w:type="pct"/>
            <w:shd w:val="clear" w:color="auto" w:fill="auto"/>
          </w:tcPr>
          <w:p w:rsidR="00C13C71" w:rsidRPr="00D54D64" w:rsidRDefault="00C13C71" w:rsidP="00001C9D">
            <w:r w:rsidRPr="00D54D64">
              <w:t>Section 43ZG</w:t>
            </w:r>
          </w:p>
          <w:p w:rsidR="00C13C71" w:rsidRPr="00D54D64" w:rsidRDefault="00640A9B" w:rsidP="00AD7944">
            <w:r w:rsidRPr="00D54D64">
              <w:t>[Clause</w:t>
            </w:r>
            <w:r w:rsidR="00C13C71" w:rsidRPr="00D54D64">
              <w:t xml:space="preserve"> </w:t>
            </w:r>
            <w:r w:rsidR="00AD7944" w:rsidRPr="00D54D64">
              <w:t>38</w:t>
            </w:r>
            <w:r w:rsidR="00C13C71" w:rsidRPr="00D54D64">
              <w:t>]</w:t>
            </w:r>
          </w:p>
        </w:tc>
      </w:tr>
      <w:tr w:rsidR="00C13C71" w:rsidRPr="00D54D64" w:rsidTr="007B0C8A">
        <w:trPr>
          <w:jc w:val="center"/>
        </w:trPr>
        <w:tc>
          <w:tcPr>
            <w:tcW w:w="338" w:type="pct"/>
            <w:shd w:val="clear" w:color="auto" w:fill="auto"/>
          </w:tcPr>
          <w:p w:rsidR="00C13C71" w:rsidRPr="00D54D64" w:rsidRDefault="00C13C71">
            <w:pPr>
              <w:widowControl w:val="0"/>
              <w:numPr>
                <w:ilvl w:val="0"/>
                <w:numId w:val="26"/>
              </w:numPr>
              <w:rPr>
                <w:rFonts w:eastAsia="PMingLiU"/>
                <w:b/>
              </w:rPr>
            </w:pPr>
          </w:p>
        </w:tc>
        <w:tc>
          <w:tcPr>
            <w:tcW w:w="1142" w:type="pct"/>
            <w:shd w:val="clear" w:color="auto" w:fill="auto"/>
          </w:tcPr>
          <w:p w:rsidR="00C13C71" w:rsidRPr="00D54D64" w:rsidRDefault="00C13C71" w:rsidP="00001C9D">
            <w:pPr>
              <w:jc w:val="both"/>
            </w:pPr>
            <w:r w:rsidRPr="00D54D64">
              <w:t>Amend the provision relating to income of venture company under Section 13H</w:t>
            </w:r>
          </w:p>
        </w:tc>
        <w:tc>
          <w:tcPr>
            <w:tcW w:w="2579" w:type="pct"/>
            <w:shd w:val="clear" w:color="auto" w:fill="auto"/>
          </w:tcPr>
          <w:p w:rsidR="00C13C71" w:rsidRPr="00D54D64" w:rsidRDefault="00C13C71" w:rsidP="00C13C71">
            <w:pPr>
              <w:pStyle w:val="Default"/>
              <w:jc w:val="both"/>
            </w:pPr>
            <w:r w:rsidRPr="00D54D64">
              <w:t>To only provide for tax exemption of income of venture company, in alignment with existing practice.</w:t>
            </w:r>
          </w:p>
          <w:p w:rsidR="00C13C71" w:rsidRPr="00D54D64" w:rsidRDefault="00C13C71" w:rsidP="003D7BD6">
            <w:pPr>
              <w:jc w:val="both"/>
              <w:rPr>
                <w:lang w:val="en-GB"/>
              </w:rPr>
            </w:pPr>
          </w:p>
        </w:tc>
        <w:tc>
          <w:tcPr>
            <w:tcW w:w="941" w:type="pct"/>
            <w:shd w:val="clear" w:color="auto" w:fill="auto"/>
          </w:tcPr>
          <w:p w:rsidR="00C13C71" w:rsidRPr="00D54D64" w:rsidRDefault="00C13C71" w:rsidP="00001C9D">
            <w:r w:rsidRPr="00D54D64">
              <w:t>Section 13H</w:t>
            </w:r>
          </w:p>
          <w:p w:rsidR="00C13C71" w:rsidRPr="00D54D64" w:rsidRDefault="00C13C71" w:rsidP="00C13C71">
            <w:r w:rsidRPr="00D54D64">
              <w:t xml:space="preserve">[Clause </w:t>
            </w:r>
            <w:r w:rsidR="00AD7944" w:rsidRPr="00D54D64">
              <w:t>8</w:t>
            </w:r>
            <w:r w:rsidRPr="00D54D64">
              <w:t>]</w:t>
            </w:r>
          </w:p>
          <w:p w:rsidR="00C13C71" w:rsidRPr="00D54D64" w:rsidRDefault="00C13C71" w:rsidP="00C13C71"/>
          <w:p w:rsidR="00C13C71" w:rsidRPr="00D54D64" w:rsidRDefault="00C13C71" w:rsidP="00C13C71">
            <w:r w:rsidRPr="00D54D64">
              <w:t>Miscellaneous amendment</w:t>
            </w:r>
            <w:r w:rsidR="006B4A8D" w:rsidRPr="00D54D64">
              <w:t>s</w:t>
            </w:r>
            <w:r w:rsidRPr="00D54D64">
              <w:t xml:space="preserve"> to Section</w:t>
            </w:r>
            <w:r w:rsidR="006B4A8D" w:rsidRPr="00D54D64">
              <w:t>s</w:t>
            </w:r>
            <w:r w:rsidRPr="00D54D64">
              <w:t xml:space="preserve"> </w:t>
            </w:r>
            <w:r w:rsidR="006B4A8D" w:rsidRPr="00D54D64">
              <w:t xml:space="preserve">14D, </w:t>
            </w:r>
            <w:r w:rsidRPr="00D54D64">
              <w:t>36</w:t>
            </w:r>
            <w:r w:rsidR="006B4A8D" w:rsidRPr="00D54D64">
              <w:t>, 37B and 37E</w:t>
            </w:r>
          </w:p>
          <w:p w:rsidR="00C13C71" w:rsidRPr="00D54D64" w:rsidRDefault="00C13C71" w:rsidP="00C13C71">
            <w:r w:rsidRPr="00D54D64">
              <w:t xml:space="preserve">[Clause </w:t>
            </w:r>
            <w:r w:rsidR="00AD7944" w:rsidRPr="00D54D64">
              <w:t>59</w:t>
            </w:r>
            <w:r w:rsidRPr="00D54D64">
              <w:t>]</w:t>
            </w:r>
          </w:p>
          <w:p w:rsidR="00C13C71" w:rsidRPr="00D54D64" w:rsidRDefault="00C13C71" w:rsidP="00C13C71"/>
          <w:p w:rsidR="00C13C71" w:rsidRPr="00D54D64" w:rsidRDefault="00C13C71" w:rsidP="00C13C71">
            <w:r w:rsidRPr="00D54D64">
              <w:t>Consequential amendment to Economic Expansion Incentives (Relief from Income Tax) Act Section 66</w:t>
            </w:r>
          </w:p>
          <w:p w:rsidR="00AD7944" w:rsidRPr="00D54D64" w:rsidRDefault="00AD7944" w:rsidP="00C13C71">
            <w:r w:rsidRPr="00D54D64">
              <w:t>[Clause 60]</w:t>
            </w:r>
          </w:p>
        </w:tc>
      </w:tr>
      <w:tr w:rsidR="00640A9B" w:rsidRPr="00D54D64" w:rsidTr="007B0C8A">
        <w:trPr>
          <w:jc w:val="center"/>
        </w:trPr>
        <w:tc>
          <w:tcPr>
            <w:tcW w:w="338" w:type="pct"/>
            <w:shd w:val="clear" w:color="auto" w:fill="auto"/>
          </w:tcPr>
          <w:p w:rsidR="00640A9B" w:rsidRPr="00D54D64" w:rsidRDefault="00640A9B">
            <w:pPr>
              <w:widowControl w:val="0"/>
              <w:numPr>
                <w:ilvl w:val="0"/>
                <w:numId w:val="26"/>
              </w:numPr>
              <w:rPr>
                <w:rFonts w:eastAsia="PMingLiU"/>
                <w:b/>
              </w:rPr>
            </w:pPr>
          </w:p>
        </w:tc>
        <w:tc>
          <w:tcPr>
            <w:tcW w:w="1142" w:type="pct"/>
            <w:shd w:val="clear" w:color="auto" w:fill="auto"/>
          </w:tcPr>
          <w:p w:rsidR="00640A9B" w:rsidRPr="00D54D64" w:rsidRDefault="00640A9B" w:rsidP="00203433">
            <w:r w:rsidRPr="00D54D64">
              <w:t>Amend the provision relating to headquarters company under Section 43E</w:t>
            </w:r>
          </w:p>
          <w:p w:rsidR="00640A9B" w:rsidRPr="00D54D64" w:rsidRDefault="00640A9B" w:rsidP="00203433"/>
        </w:tc>
        <w:tc>
          <w:tcPr>
            <w:tcW w:w="2579" w:type="pct"/>
            <w:shd w:val="clear" w:color="auto" w:fill="auto"/>
          </w:tcPr>
          <w:p w:rsidR="00640A9B" w:rsidRPr="00D54D64" w:rsidRDefault="00640A9B" w:rsidP="00203433">
            <w:pPr>
              <w:pStyle w:val="Default"/>
              <w:jc w:val="both"/>
              <w:rPr>
                <w:color w:val="auto"/>
              </w:rPr>
            </w:pPr>
            <w:r w:rsidRPr="00D54D64">
              <w:rPr>
                <w:color w:val="auto"/>
              </w:rPr>
              <w:t>To align with existing treatment, Section 43E will be amended to remove the provision allowing for other concessionary tax rates to be prescribed by Regulations.</w:t>
            </w:r>
          </w:p>
          <w:p w:rsidR="00640A9B" w:rsidRPr="00D54D64" w:rsidRDefault="00640A9B" w:rsidP="00203433">
            <w:pPr>
              <w:pStyle w:val="Default"/>
              <w:jc w:val="both"/>
              <w:rPr>
                <w:color w:val="auto"/>
              </w:rPr>
            </w:pPr>
          </w:p>
        </w:tc>
        <w:tc>
          <w:tcPr>
            <w:tcW w:w="941" w:type="pct"/>
            <w:shd w:val="clear" w:color="auto" w:fill="auto"/>
          </w:tcPr>
          <w:p w:rsidR="00640A9B" w:rsidRPr="00D54D64" w:rsidRDefault="00640A9B" w:rsidP="00001C9D">
            <w:r w:rsidRPr="00D54D64">
              <w:t>Section 43E</w:t>
            </w:r>
          </w:p>
          <w:p w:rsidR="00640A9B" w:rsidRPr="00D54D64" w:rsidRDefault="00640A9B" w:rsidP="00AD7944">
            <w:r w:rsidRPr="00D54D64">
              <w:rPr>
                <w:lang w:val="en-GB"/>
              </w:rPr>
              <w:t xml:space="preserve">[Clause </w:t>
            </w:r>
            <w:r w:rsidR="00AD7944" w:rsidRPr="00D54D64">
              <w:rPr>
                <w:lang w:val="en-GB"/>
              </w:rPr>
              <w:t>31</w:t>
            </w:r>
            <w:r w:rsidRPr="00D54D64">
              <w:rPr>
                <w:lang w:val="en-GB"/>
              </w:rPr>
              <w:t>]</w:t>
            </w:r>
          </w:p>
        </w:tc>
      </w:tr>
      <w:tr w:rsidR="00640A9B" w:rsidRPr="00D54D64" w:rsidTr="007B0C8A">
        <w:trPr>
          <w:jc w:val="center"/>
        </w:trPr>
        <w:tc>
          <w:tcPr>
            <w:tcW w:w="338" w:type="pct"/>
            <w:shd w:val="clear" w:color="auto" w:fill="auto"/>
          </w:tcPr>
          <w:p w:rsidR="00640A9B" w:rsidRPr="00D54D64" w:rsidRDefault="00640A9B">
            <w:pPr>
              <w:widowControl w:val="0"/>
              <w:numPr>
                <w:ilvl w:val="0"/>
                <w:numId w:val="26"/>
              </w:numPr>
              <w:rPr>
                <w:rFonts w:eastAsia="PMingLiU"/>
                <w:b/>
              </w:rPr>
            </w:pPr>
          </w:p>
        </w:tc>
        <w:tc>
          <w:tcPr>
            <w:tcW w:w="1142" w:type="pct"/>
            <w:shd w:val="clear" w:color="auto" w:fill="auto"/>
          </w:tcPr>
          <w:p w:rsidR="00640A9B" w:rsidRPr="00D54D64" w:rsidRDefault="00640A9B" w:rsidP="00203433">
            <w:r w:rsidRPr="00D54D64">
              <w:t>Amend the provision relating to offshore leasing of plant and machinery under Section 43I</w:t>
            </w:r>
          </w:p>
          <w:p w:rsidR="00640A9B" w:rsidRPr="00D54D64" w:rsidRDefault="00640A9B" w:rsidP="00C13C71"/>
        </w:tc>
        <w:tc>
          <w:tcPr>
            <w:tcW w:w="2579" w:type="pct"/>
            <w:shd w:val="clear" w:color="auto" w:fill="auto"/>
          </w:tcPr>
          <w:p w:rsidR="00640A9B" w:rsidRPr="00D54D64" w:rsidRDefault="00640A9B" w:rsidP="00203433">
            <w:pPr>
              <w:pStyle w:val="Default"/>
              <w:jc w:val="both"/>
              <w:rPr>
                <w:color w:val="auto"/>
              </w:rPr>
            </w:pPr>
            <w:r w:rsidRPr="00D54D64">
              <w:rPr>
                <w:color w:val="auto"/>
              </w:rPr>
              <w:t>To align with existing treatment, Section 43I will be amended to remove the provision allowing for other concessionary tax rates to be prescribed by Regulations.</w:t>
            </w:r>
          </w:p>
          <w:p w:rsidR="00640A9B" w:rsidRPr="00D54D64" w:rsidRDefault="00640A9B" w:rsidP="00493B11">
            <w:pPr>
              <w:pStyle w:val="Default"/>
              <w:jc w:val="both"/>
              <w:rPr>
                <w:color w:val="auto"/>
              </w:rPr>
            </w:pPr>
          </w:p>
        </w:tc>
        <w:tc>
          <w:tcPr>
            <w:tcW w:w="941" w:type="pct"/>
            <w:shd w:val="clear" w:color="auto" w:fill="auto"/>
          </w:tcPr>
          <w:p w:rsidR="00640A9B" w:rsidRPr="00D54D64" w:rsidRDefault="00640A9B" w:rsidP="00001C9D">
            <w:r w:rsidRPr="00D54D64">
              <w:t>Section 43I</w:t>
            </w:r>
          </w:p>
          <w:p w:rsidR="00640A9B" w:rsidRPr="00D54D64" w:rsidRDefault="00640A9B" w:rsidP="00AD7944">
            <w:r w:rsidRPr="00D54D64">
              <w:rPr>
                <w:lang w:val="en-GB"/>
              </w:rPr>
              <w:t xml:space="preserve">[Clause </w:t>
            </w:r>
            <w:r w:rsidR="00AD7944" w:rsidRPr="00D54D64">
              <w:rPr>
                <w:lang w:val="en-GB"/>
              </w:rPr>
              <w:t>33</w:t>
            </w:r>
            <w:r w:rsidRPr="00D54D64">
              <w:rPr>
                <w:lang w:val="en-GB"/>
              </w:rPr>
              <w:t>]</w:t>
            </w:r>
          </w:p>
        </w:tc>
      </w:tr>
      <w:tr w:rsidR="00640A9B" w:rsidRPr="00D54D64" w:rsidTr="007B0C8A">
        <w:trPr>
          <w:jc w:val="center"/>
        </w:trPr>
        <w:tc>
          <w:tcPr>
            <w:tcW w:w="338" w:type="pct"/>
            <w:shd w:val="clear" w:color="auto" w:fill="auto"/>
          </w:tcPr>
          <w:p w:rsidR="00640A9B" w:rsidRPr="00D54D64" w:rsidRDefault="00640A9B">
            <w:pPr>
              <w:widowControl w:val="0"/>
              <w:numPr>
                <w:ilvl w:val="0"/>
                <w:numId w:val="26"/>
              </w:numPr>
              <w:rPr>
                <w:rFonts w:eastAsia="PMingLiU"/>
                <w:b/>
              </w:rPr>
            </w:pPr>
          </w:p>
        </w:tc>
        <w:tc>
          <w:tcPr>
            <w:tcW w:w="1142" w:type="pct"/>
            <w:shd w:val="clear" w:color="auto" w:fill="auto"/>
          </w:tcPr>
          <w:p w:rsidR="00640A9B" w:rsidRPr="00D54D64" w:rsidRDefault="00640A9B" w:rsidP="00C13C71">
            <w:r w:rsidRPr="00D54D64">
              <w:t>Amend the provision relating to income of trustee company under Section 43J</w:t>
            </w:r>
          </w:p>
        </w:tc>
        <w:tc>
          <w:tcPr>
            <w:tcW w:w="2579" w:type="pct"/>
            <w:shd w:val="clear" w:color="auto" w:fill="auto"/>
          </w:tcPr>
          <w:p w:rsidR="00640A9B" w:rsidRPr="00D54D64" w:rsidRDefault="00640A9B" w:rsidP="00203433">
            <w:pPr>
              <w:pStyle w:val="Default"/>
              <w:jc w:val="both"/>
              <w:rPr>
                <w:color w:val="auto"/>
              </w:rPr>
            </w:pPr>
            <w:r w:rsidRPr="00D54D64">
              <w:rPr>
                <w:color w:val="auto"/>
              </w:rPr>
              <w:t>To align with existing treatment, Section 43J will be amended to remove the provision allowing for other concessionary tax rates to be prescribed by Regulations.</w:t>
            </w:r>
          </w:p>
          <w:p w:rsidR="00640A9B" w:rsidRPr="00D54D64" w:rsidRDefault="00640A9B" w:rsidP="00203433">
            <w:pPr>
              <w:pStyle w:val="Default"/>
              <w:jc w:val="both"/>
              <w:rPr>
                <w:color w:val="auto"/>
              </w:rPr>
            </w:pPr>
          </w:p>
        </w:tc>
        <w:tc>
          <w:tcPr>
            <w:tcW w:w="941" w:type="pct"/>
            <w:shd w:val="clear" w:color="auto" w:fill="auto"/>
          </w:tcPr>
          <w:p w:rsidR="00640A9B" w:rsidRPr="00D54D64" w:rsidRDefault="00640A9B" w:rsidP="00203433">
            <w:pPr>
              <w:rPr>
                <w:lang w:val="en-GB"/>
              </w:rPr>
            </w:pPr>
            <w:r w:rsidRPr="00D54D64">
              <w:rPr>
                <w:lang w:val="en-GB"/>
              </w:rPr>
              <w:t>Section 43J</w:t>
            </w:r>
          </w:p>
          <w:p w:rsidR="00640A9B" w:rsidRPr="00D54D64" w:rsidRDefault="00640A9B" w:rsidP="00AD7944">
            <w:r w:rsidRPr="00D54D64">
              <w:rPr>
                <w:lang w:val="en-GB"/>
              </w:rPr>
              <w:t xml:space="preserve">[Clause </w:t>
            </w:r>
            <w:r w:rsidR="00AD7944" w:rsidRPr="00D54D64">
              <w:rPr>
                <w:lang w:val="en-GB"/>
              </w:rPr>
              <w:t>34</w:t>
            </w:r>
            <w:r w:rsidRPr="00D54D64">
              <w:rPr>
                <w:lang w:val="en-GB"/>
              </w:rPr>
              <w:t>]</w:t>
            </w:r>
          </w:p>
        </w:tc>
      </w:tr>
      <w:tr w:rsidR="00640A9B" w:rsidRPr="00D54D64" w:rsidTr="007B0C8A">
        <w:trPr>
          <w:jc w:val="center"/>
        </w:trPr>
        <w:tc>
          <w:tcPr>
            <w:tcW w:w="338" w:type="pct"/>
            <w:shd w:val="clear" w:color="auto" w:fill="auto"/>
          </w:tcPr>
          <w:p w:rsidR="00640A9B" w:rsidRPr="00D54D64" w:rsidRDefault="00640A9B">
            <w:pPr>
              <w:widowControl w:val="0"/>
              <w:numPr>
                <w:ilvl w:val="0"/>
                <w:numId w:val="26"/>
              </w:numPr>
              <w:rPr>
                <w:rFonts w:eastAsia="PMingLiU"/>
                <w:b/>
              </w:rPr>
            </w:pPr>
          </w:p>
        </w:tc>
        <w:tc>
          <w:tcPr>
            <w:tcW w:w="1142" w:type="pct"/>
            <w:shd w:val="clear" w:color="auto" w:fill="auto"/>
          </w:tcPr>
          <w:p w:rsidR="00640A9B" w:rsidRPr="00D54D64" w:rsidRDefault="00640A9B" w:rsidP="00C13C71">
            <w:r w:rsidRPr="00D54D64">
              <w:t>Amend the provision relating to income derived from debt securities under Section 43N</w:t>
            </w:r>
          </w:p>
        </w:tc>
        <w:tc>
          <w:tcPr>
            <w:tcW w:w="2579" w:type="pct"/>
            <w:shd w:val="clear" w:color="auto" w:fill="auto"/>
          </w:tcPr>
          <w:p w:rsidR="00640A9B" w:rsidRPr="00D54D64" w:rsidRDefault="00640A9B" w:rsidP="00203433">
            <w:pPr>
              <w:pStyle w:val="Default"/>
              <w:jc w:val="both"/>
              <w:rPr>
                <w:color w:val="auto"/>
              </w:rPr>
            </w:pPr>
            <w:r w:rsidRPr="00D54D64">
              <w:rPr>
                <w:color w:val="auto"/>
              </w:rPr>
              <w:t>To align with existing treatment, Section 43N will be amended to remove the provision allowing for other concessionary tax rates to be prescribed by Regulations.</w:t>
            </w:r>
          </w:p>
          <w:p w:rsidR="00640A9B" w:rsidRPr="00D54D64" w:rsidRDefault="00640A9B" w:rsidP="00493B11">
            <w:pPr>
              <w:pStyle w:val="Default"/>
              <w:jc w:val="both"/>
              <w:rPr>
                <w:color w:val="auto"/>
              </w:rPr>
            </w:pPr>
          </w:p>
        </w:tc>
        <w:tc>
          <w:tcPr>
            <w:tcW w:w="941" w:type="pct"/>
            <w:shd w:val="clear" w:color="auto" w:fill="auto"/>
          </w:tcPr>
          <w:p w:rsidR="00640A9B" w:rsidRPr="00D54D64" w:rsidRDefault="00640A9B" w:rsidP="00203433">
            <w:r w:rsidRPr="00D54D64">
              <w:t>Section 43N</w:t>
            </w:r>
          </w:p>
          <w:p w:rsidR="00640A9B" w:rsidRPr="00D54D64" w:rsidRDefault="00640A9B" w:rsidP="00203433">
            <w:r w:rsidRPr="00D54D64">
              <w:t xml:space="preserve">[Clause </w:t>
            </w:r>
            <w:r w:rsidR="00AD7944" w:rsidRPr="00D54D64">
              <w:t>35</w:t>
            </w:r>
            <w:r w:rsidRPr="00D54D64">
              <w:t>]</w:t>
            </w:r>
          </w:p>
          <w:p w:rsidR="00640A9B" w:rsidRPr="00D54D64" w:rsidRDefault="00640A9B" w:rsidP="00203433"/>
          <w:p w:rsidR="00640A9B" w:rsidRPr="00D54D64" w:rsidRDefault="00640A9B" w:rsidP="00001C9D"/>
        </w:tc>
      </w:tr>
      <w:tr w:rsidR="00640A9B" w:rsidRPr="00D54D64" w:rsidTr="007B0C8A">
        <w:trPr>
          <w:jc w:val="center"/>
        </w:trPr>
        <w:tc>
          <w:tcPr>
            <w:tcW w:w="338" w:type="pct"/>
            <w:shd w:val="clear" w:color="auto" w:fill="auto"/>
          </w:tcPr>
          <w:p w:rsidR="00640A9B" w:rsidRPr="00D54D64" w:rsidRDefault="00640A9B">
            <w:pPr>
              <w:widowControl w:val="0"/>
              <w:numPr>
                <w:ilvl w:val="0"/>
                <w:numId w:val="26"/>
              </w:numPr>
              <w:rPr>
                <w:rFonts w:eastAsia="PMingLiU"/>
                <w:b/>
              </w:rPr>
            </w:pPr>
          </w:p>
        </w:tc>
        <w:tc>
          <w:tcPr>
            <w:tcW w:w="1142" w:type="pct"/>
            <w:shd w:val="clear" w:color="auto" w:fill="auto"/>
          </w:tcPr>
          <w:p w:rsidR="00640A9B" w:rsidRPr="00D54D64" w:rsidRDefault="00640A9B" w:rsidP="00C13C71">
            <w:r w:rsidRPr="00D54D64">
              <w:t>Repeal the provision relating to tax exemption of income of the Singapore Commodity Exchange Limited under Section 13(1)(p)</w:t>
            </w:r>
          </w:p>
        </w:tc>
        <w:tc>
          <w:tcPr>
            <w:tcW w:w="2579" w:type="pct"/>
            <w:shd w:val="clear" w:color="auto" w:fill="auto"/>
          </w:tcPr>
          <w:p w:rsidR="00640A9B" w:rsidRPr="00D54D64" w:rsidRDefault="00640A9B" w:rsidP="00493B11">
            <w:pPr>
              <w:pStyle w:val="Default"/>
              <w:jc w:val="both"/>
              <w:rPr>
                <w:color w:val="auto"/>
              </w:rPr>
            </w:pPr>
            <w:r w:rsidRPr="00D54D64">
              <w:rPr>
                <w:color w:val="auto"/>
              </w:rPr>
              <w:t>The provision is obsolete as the scheme has expired on 31 December 2007.</w:t>
            </w:r>
          </w:p>
          <w:p w:rsidR="00640A9B" w:rsidRPr="00D54D64" w:rsidRDefault="00640A9B" w:rsidP="00C13C71">
            <w:pPr>
              <w:pStyle w:val="Default"/>
              <w:jc w:val="both"/>
              <w:rPr>
                <w:color w:val="auto"/>
              </w:rPr>
            </w:pPr>
          </w:p>
        </w:tc>
        <w:tc>
          <w:tcPr>
            <w:tcW w:w="941" w:type="pct"/>
            <w:shd w:val="clear" w:color="auto" w:fill="auto"/>
          </w:tcPr>
          <w:p w:rsidR="00640A9B" w:rsidRPr="00D54D64" w:rsidRDefault="00640A9B" w:rsidP="00001C9D">
            <w:r w:rsidRPr="00D54D64">
              <w:t>Section 13</w:t>
            </w:r>
          </w:p>
          <w:p w:rsidR="00352D04" w:rsidRPr="00D54D64" w:rsidRDefault="00352D04" w:rsidP="00352D04">
            <w:r w:rsidRPr="00D54D64">
              <w:t xml:space="preserve">[Clause </w:t>
            </w:r>
            <w:r w:rsidR="00AD7944" w:rsidRPr="00D54D64">
              <w:t>5</w:t>
            </w:r>
            <w:r w:rsidR="00F818C6" w:rsidRPr="00D54D64">
              <w:t>8</w:t>
            </w:r>
            <w:r w:rsidRPr="00D54D64">
              <w:t>]</w:t>
            </w:r>
          </w:p>
          <w:p w:rsidR="00352D04" w:rsidRPr="00D54D64" w:rsidRDefault="00352D04" w:rsidP="00001C9D"/>
        </w:tc>
      </w:tr>
      <w:tr w:rsidR="00640A9B" w:rsidRPr="00D54D64" w:rsidTr="007B0C8A">
        <w:trPr>
          <w:jc w:val="center"/>
        </w:trPr>
        <w:tc>
          <w:tcPr>
            <w:tcW w:w="338" w:type="pct"/>
            <w:shd w:val="clear" w:color="auto" w:fill="auto"/>
          </w:tcPr>
          <w:p w:rsidR="00640A9B" w:rsidRPr="00D54D64" w:rsidRDefault="00640A9B">
            <w:pPr>
              <w:widowControl w:val="0"/>
              <w:numPr>
                <w:ilvl w:val="0"/>
                <w:numId w:val="26"/>
              </w:numPr>
              <w:rPr>
                <w:rFonts w:eastAsia="PMingLiU"/>
                <w:b/>
              </w:rPr>
            </w:pPr>
          </w:p>
        </w:tc>
        <w:tc>
          <w:tcPr>
            <w:tcW w:w="1142" w:type="pct"/>
            <w:shd w:val="clear" w:color="auto" w:fill="auto"/>
          </w:tcPr>
          <w:p w:rsidR="00640A9B" w:rsidRPr="00D54D64" w:rsidRDefault="00640A9B" w:rsidP="00493B11">
            <w:r w:rsidRPr="00D54D64">
              <w:t>Repeal the provision relating to tax exemption of interests from POSB savings account under Section 13(1)(u) and (</w:t>
            </w:r>
            <w:proofErr w:type="spellStart"/>
            <w:r w:rsidRPr="00D54D64">
              <w:t>ua</w:t>
            </w:r>
            <w:proofErr w:type="spellEnd"/>
            <w:r w:rsidRPr="00D54D64">
              <w:t>)</w:t>
            </w:r>
          </w:p>
        </w:tc>
        <w:tc>
          <w:tcPr>
            <w:tcW w:w="2579" w:type="pct"/>
            <w:shd w:val="clear" w:color="auto" w:fill="auto"/>
          </w:tcPr>
          <w:p w:rsidR="00640A9B" w:rsidRPr="00D54D64" w:rsidRDefault="00640A9B" w:rsidP="00493B11">
            <w:pPr>
              <w:pStyle w:val="Default"/>
              <w:jc w:val="both"/>
              <w:rPr>
                <w:color w:val="auto"/>
              </w:rPr>
            </w:pPr>
            <w:r w:rsidRPr="00D54D64">
              <w:rPr>
                <w:color w:val="auto"/>
              </w:rPr>
              <w:t>The provision is obsolete as the scheme has expired on 31 December 2004.</w:t>
            </w:r>
          </w:p>
          <w:p w:rsidR="00640A9B" w:rsidRPr="00D54D64" w:rsidRDefault="00640A9B" w:rsidP="00C13C71">
            <w:pPr>
              <w:pStyle w:val="Default"/>
              <w:jc w:val="both"/>
              <w:rPr>
                <w:color w:val="auto"/>
              </w:rPr>
            </w:pPr>
          </w:p>
        </w:tc>
        <w:tc>
          <w:tcPr>
            <w:tcW w:w="941" w:type="pct"/>
            <w:shd w:val="clear" w:color="auto" w:fill="auto"/>
          </w:tcPr>
          <w:p w:rsidR="00640A9B" w:rsidRPr="00D54D64" w:rsidRDefault="00640A9B" w:rsidP="00001C9D">
            <w:r w:rsidRPr="00D54D64">
              <w:t>Section 13</w:t>
            </w:r>
          </w:p>
          <w:p w:rsidR="00352D04" w:rsidRPr="00D54D64" w:rsidRDefault="00352D04" w:rsidP="00352D04">
            <w:r w:rsidRPr="00D54D64">
              <w:t xml:space="preserve">[Clause </w:t>
            </w:r>
            <w:r w:rsidR="00AD7944" w:rsidRPr="00D54D64">
              <w:t>5</w:t>
            </w:r>
            <w:r w:rsidR="00F818C6" w:rsidRPr="00D54D64">
              <w:t>8</w:t>
            </w:r>
            <w:r w:rsidRPr="00D54D64">
              <w:t>]</w:t>
            </w:r>
          </w:p>
          <w:p w:rsidR="00352D04" w:rsidRPr="00D54D64" w:rsidRDefault="00352D04" w:rsidP="00001C9D"/>
        </w:tc>
      </w:tr>
      <w:tr w:rsidR="00640A9B" w:rsidRPr="00D54D64" w:rsidTr="007B0C8A">
        <w:trPr>
          <w:jc w:val="center"/>
        </w:trPr>
        <w:tc>
          <w:tcPr>
            <w:tcW w:w="338" w:type="pct"/>
            <w:shd w:val="clear" w:color="auto" w:fill="auto"/>
          </w:tcPr>
          <w:p w:rsidR="00640A9B" w:rsidRPr="00D54D64" w:rsidRDefault="00640A9B">
            <w:pPr>
              <w:widowControl w:val="0"/>
              <w:numPr>
                <w:ilvl w:val="0"/>
                <w:numId w:val="26"/>
              </w:numPr>
              <w:rPr>
                <w:rFonts w:eastAsia="PMingLiU"/>
                <w:b/>
              </w:rPr>
            </w:pPr>
          </w:p>
        </w:tc>
        <w:tc>
          <w:tcPr>
            <w:tcW w:w="1142" w:type="pct"/>
            <w:shd w:val="clear" w:color="auto" w:fill="auto"/>
          </w:tcPr>
          <w:p w:rsidR="00640A9B" w:rsidRPr="00D54D64" w:rsidRDefault="00640A9B" w:rsidP="00001C9D">
            <w:pPr>
              <w:jc w:val="both"/>
            </w:pPr>
            <w:r w:rsidRPr="00D54D64">
              <w:t>Repeal the provision relating to tax exemption of interest from deposits with banks &amp; finance companies licensed under the Finance Companies Act under Section 13(1)(</w:t>
            </w:r>
            <w:proofErr w:type="spellStart"/>
            <w:r w:rsidRPr="00D54D64">
              <w:t>zc</w:t>
            </w:r>
            <w:proofErr w:type="spellEnd"/>
            <w:r w:rsidRPr="00D54D64">
              <w:t>)</w:t>
            </w:r>
          </w:p>
        </w:tc>
        <w:tc>
          <w:tcPr>
            <w:tcW w:w="2579" w:type="pct"/>
            <w:shd w:val="clear" w:color="auto" w:fill="auto"/>
          </w:tcPr>
          <w:p w:rsidR="00640A9B" w:rsidRPr="00D54D64" w:rsidRDefault="00640A9B" w:rsidP="00493B11">
            <w:pPr>
              <w:pStyle w:val="Default"/>
              <w:jc w:val="both"/>
              <w:rPr>
                <w:color w:val="auto"/>
              </w:rPr>
            </w:pPr>
            <w:r w:rsidRPr="00D54D64">
              <w:rPr>
                <w:color w:val="auto"/>
              </w:rPr>
              <w:t>The provision is obsolete as the scheme has expired on 31 December 2004.</w:t>
            </w:r>
          </w:p>
          <w:p w:rsidR="00640A9B" w:rsidRPr="00D54D64" w:rsidRDefault="00640A9B" w:rsidP="00C13C71">
            <w:pPr>
              <w:pStyle w:val="Default"/>
              <w:jc w:val="both"/>
              <w:rPr>
                <w:color w:val="auto"/>
              </w:rPr>
            </w:pPr>
          </w:p>
        </w:tc>
        <w:tc>
          <w:tcPr>
            <w:tcW w:w="941" w:type="pct"/>
            <w:shd w:val="clear" w:color="auto" w:fill="auto"/>
          </w:tcPr>
          <w:p w:rsidR="00640A9B" w:rsidRPr="00D54D64" w:rsidRDefault="00640A9B" w:rsidP="00001C9D">
            <w:r w:rsidRPr="00D54D64">
              <w:t>Section 13</w:t>
            </w:r>
          </w:p>
          <w:p w:rsidR="00352D04" w:rsidRPr="00D54D64" w:rsidRDefault="00352D04" w:rsidP="00352D04">
            <w:r w:rsidRPr="00D54D64">
              <w:t xml:space="preserve">[Clause </w:t>
            </w:r>
            <w:r w:rsidR="00AD7944" w:rsidRPr="00D54D64">
              <w:t>5</w:t>
            </w:r>
            <w:r w:rsidR="00F818C6" w:rsidRPr="00D54D64">
              <w:t>8</w:t>
            </w:r>
            <w:r w:rsidRPr="00D54D64">
              <w:t>]</w:t>
            </w:r>
          </w:p>
          <w:p w:rsidR="00352D04" w:rsidRPr="00D54D64" w:rsidRDefault="00352D04" w:rsidP="00001C9D"/>
        </w:tc>
      </w:tr>
      <w:tr w:rsidR="00640A9B" w:rsidRPr="00D54D64" w:rsidTr="007B0C8A">
        <w:trPr>
          <w:jc w:val="center"/>
        </w:trPr>
        <w:tc>
          <w:tcPr>
            <w:tcW w:w="338" w:type="pct"/>
            <w:shd w:val="clear" w:color="auto" w:fill="auto"/>
          </w:tcPr>
          <w:p w:rsidR="00640A9B" w:rsidRPr="00D54D64" w:rsidRDefault="00640A9B">
            <w:pPr>
              <w:widowControl w:val="0"/>
              <w:numPr>
                <w:ilvl w:val="0"/>
                <w:numId w:val="26"/>
              </w:numPr>
              <w:rPr>
                <w:rFonts w:eastAsia="PMingLiU"/>
                <w:b/>
              </w:rPr>
            </w:pPr>
          </w:p>
        </w:tc>
        <w:tc>
          <w:tcPr>
            <w:tcW w:w="1142" w:type="pct"/>
            <w:shd w:val="clear" w:color="auto" w:fill="auto"/>
          </w:tcPr>
          <w:p w:rsidR="00640A9B" w:rsidRPr="00D54D64" w:rsidRDefault="00640A9B" w:rsidP="00493B11">
            <w:r w:rsidRPr="00D54D64">
              <w:t>Repeal the provision relating to further deduction for logistics expenses under Section 14C</w:t>
            </w:r>
          </w:p>
          <w:p w:rsidR="00640A9B" w:rsidRPr="00D54D64" w:rsidRDefault="00640A9B" w:rsidP="00001C9D">
            <w:pPr>
              <w:jc w:val="both"/>
            </w:pPr>
          </w:p>
        </w:tc>
        <w:tc>
          <w:tcPr>
            <w:tcW w:w="2579" w:type="pct"/>
            <w:shd w:val="clear" w:color="auto" w:fill="auto"/>
          </w:tcPr>
          <w:p w:rsidR="00640A9B" w:rsidRPr="00D54D64" w:rsidRDefault="00640A9B" w:rsidP="00493B11">
            <w:pPr>
              <w:pStyle w:val="Default"/>
              <w:jc w:val="both"/>
              <w:rPr>
                <w:color w:val="auto"/>
              </w:rPr>
            </w:pPr>
            <w:r w:rsidRPr="00D54D64">
              <w:rPr>
                <w:color w:val="auto"/>
              </w:rPr>
              <w:t>The provision is obsolete as the scheme has expired on 1 July 2009.</w:t>
            </w:r>
          </w:p>
          <w:p w:rsidR="00640A9B" w:rsidRPr="00D54D64" w:rsidRDefault="00640A9B" w:rsidP="00C13C71">
            <w:pPr>
              <w:pStyle w:val="Default"/>
              <w:jc w:val="both"/>
              <w:rPr>
                <w:color w:val="auto"/>
              </w:rPr>
            </w:pPr>
          </w:p>
        </w:tc>
        <w:tc>
          <w:tcPr>
            <w:tcW w:w="941" w:type="pct"/>
            <w:shd w:val="clear" w:color="auto" w:fill="auto"/>
          </w:tcPr>
          <w:p w:rsidR="00640A9B" w:rsidRPr="00D54D64" w:rsidRDefault="00640A9B" w:rsidP="00001C9D">
            <w:r w:rsidRPr="00D54D64">
              <w:t>Section 14C</w:t>
            </w:r>
          </w:p>
          <w:p w:rsidR="00352D04" w:rsidRPr="00D54D64" w:rsidRDefault="00352D04" w:rsidP="00352D04">
            <w:r w:rsidRPr="00D54D64">
              <w:t xml:space="preserve">[Clause </w:t>
            </w:r>
            <w:r w:rsidR="00AD7944" w:rsidRPr="00D54D64">
              <w:t>58</w:t>
            </w:r>
            <w:r w:rsidRPr="00D54D64">
              <w:t>]</w:t>
            </w:r>
          </w:p>
          <w:p w:rsidR="00352D04" w:rsidRPr="00D54D64" w:rsidRDefault="00352D04" w:rsidP="00001C9D"/>
        </w:tc>
      </w:tr>
      <w:tr w:rsidR="00640A9B" w:rsidRPr="00D54D64" w:rsidTr="007B0C8A">
        <w:trPr>
          <w:jc w:val="center"/>
        </w:trPr>
        <w:tc>
          <w:tcPr>
            <w:tcW w:w="338" w:type="pct"/>
            <w:shd w:val="clear" w:color="auto" w:fill="auto"/>
          </w:tcPr>
          <w:p w:rsidR="00640A9B" w:rsidRPr="00D54D64" w:rsidRDefault="00640A9B">
            <w:pPr>
              <w:widowControl w:val="0"/>
              <w:numPr>
                <w:ilvl w:val="0"/>
                <w:numId w:val="26"/>
              </w:numPr>
              <w:rPr>
                <w:rFonts w:eastAsia="PMingLiU"/>
                <w:b/>
              </w:rPr>
            </w:pPr>
          </w:p>
        </w:tc>
        <w:tc>
          <w:tcPr>
            <w:tcW w:w="1142" w:type="pct"/>
            <w:shd w:val="clear" w:color="auto" w:fill="auto"/>
          </w:tcPr>
          <w:p w:rsidR="00640A9B" w:rsidRPr="00D54D64" w:rsidRDefault="00640A9B" w:rsidP="00493B11">
            <w:r w:rsidRPr="00D54D64">
              <w:t>Repeal the provision relating to offshore transactions on any market maintained by Singapore Exchange or its subsidiaries under Section 43D</w:t>
            </w:r>
          </w:p>
          <w:p w:rsidR="00640A9B" w:rsidRPr="00D54D64" w:rsidRDefault="00640A9B" w:rsidP="00001C9D">
            <w:pPr>
              <w:jc w:val="both"/>
            </w:pPr>
          </w:p>
        </w:tc>
        <w:tc>
          <w:tcPr>
            <w:tcW w:w="2579" w:type="pct"/>
            <w:shd w:val="clear" w:color="auto" w:fill="auto"/>
          </w:tcPr>
          <w:p w:rsidR="00640A9B" w:rsidRPr="00D54D64" w:rsidRDefault="00640A9B" w:rsidP="00493B11">
            <w:pPr>
              <w:pStyle w:val="Default"/>
              <w:jc w:val="both"/>
              <w:rPr>
                <w:color w:val="auto"/>
              </w:rPr>
            </w:pPr>
            <w:r w:rsidRPr="00D54D64">
              <w:rPr>
                <w:color w:val="auto"/>
              </w:rPr>
              <w:t>The provision is obsolete as the scheme has been subsumed under the financial sector incentive scheme on 1 January 2011.</w:t>
            </w:r>
          </w:p>
          <w:p w:rsidR="00640A9B" w:rsidRPr="00D54D64" w:rsidRDefault="00640A9B" w:rsidP="00493B11">
            <w:pPr>
              <w:tabs>
                <w:tab w:val="left" w:pos="2039"/>
              </w:tabs>
              <w:rPr>
                <w:lang w:val="en-GB" w:eastAsia="zh-CN"/>
              </w:rPr>
            </w:pPr>
          </w:p>
        </w:tc>
        <w:tc>
          <w:tcPr>
            <w:tcW w:w="941" w:type="pct"/>
            <w:shd w:val="clear" w:color="auto" w:fill="auto"/>
          </w:tcPr>
          <w:p w:rsidR="00640A9B" w:rsidRPr="00D54D64" w:rsidRDefault="00640A9B" w:rsidP="00001C9D">
            <w:r w:rsidRPr="00D54D64">
              <w:t>Section 43D</w:t>
            </w:r>
          </w:p>
          <w:p w:rsidR="00352D04" w:rsidRPr="00D54D64" w:rsidRDefault="00352D04" w:rsidP="00001C9D">
            <w:r w:rsidRPr="00D54D64">
              <w:t xml:space="preserve">[Clause </w:t>
            </w:r>
            <w:r w:rsidR="00F818C6" w:rsidRPr="00D54D64">
              <w:t>58</w:t>
            </w:r>
            <w:r w:rsidRPr="00D54D64">
              <w:t>]</w:t>
            </w:r>
          </w:p>
          <w:p w:rsidR="00640A9B" w:rsidRPr="00D54D64" w:rsidRDefault="00640A9B" w:rsidP="00001C9D"/>
          <w:p w:rsidR="00640A9B" w:rsidRPr="00D54D64" w:rsidRDefault="00640A9B" w:rsidP="00001C9D">
            <w:r w:rsidRPr="00D54D64">
              <w:t>Consequential amendment to Economic Expansion Incentives (Relief from Income Tax) Act Section 66</w:t>
            </w:r>
          </w:p>
          <w:p w:rsidR="00F818C6" w:rsidRPr="00D54D64" w:rsidRDefault="00F818C6" w:rsidP="00001C9D">
            <w:r w:rsidRPr="00D54D64">
              <w:t>[Clause 60]</w:t>
            </w:r>
          </w:p>
          <w:p w:rsidR="00F818C6" w:rsidRPr="00D54D64" w:rsidRDefault="00F818C6" w:rsidP="00001C9D"/>
        </w:tc>
      </w:tr>
      <w:tr w:rsidR="00640A9B" w:rsidRPr="00D54D64" w:rsidTr="007B0C8A">
        <w:trPr>
          <w:jc w:val="center"/>
        </w:trPr>
        <w:tc>
          <w:tcPr>
            <w:tcW w:w="338" w:type="pct"/>
            <w:shd w:val="clear" w:color="auto" w:fill="auto"/>
          </w:tcPr>
          <w:p w:rsidR="00640A9B" w:rsidRPr="00D54D64" w:rsidRDefault="00640A9B">
            <w:pPr>
              <w:widowControl w:val="0"/>
              <w:numPr>
                <w:ilvl w:val="0"/>
                <w:numId w:val="26"/>
              </w:numPr>
              <w:rPr>
                <w:rFonts w:eastAsia="PMingLiU"/>
                <w:b/>
              </w:rPr>
            </w:pPr>
          </w:p>
        </w:tc>
        <w:tc>
          <w:tcPr>
            <w:tcW w:w="1142" w:type="pct"/>
            <w:shd w:val="clear" w:color="auto" w:fill="auto"/>
          </w:tcPr>
          <w:p w:rsidR="00640A9B" w:rsidRPr="00D54D64" w:rsidRDefault="00640A9B" w:rsidP="00001C9D">
            <w:pPr>
              <w:jc w:val="both"/>
            </w:pPr>
            <w:r w:rsidRPr="00D54D64">
              <w:t>Repeal the provision relating to oil trading company under Section 43F</w:t>
            </w:r>
          </w:p>
        </w:tc>
        <w:tc>
          <w:tcPr>
            <w:tcW w:w="2579" w:type="pct"/>
            <w:shd w:val="clear" w:color="auto" w:fill="auto"/>
          </w:tcPr>
          <w:p w:rsidR="00640A9B" w:rsidRPr="00D54D64" w:rsidRDefault="00640A9B" w:rsidP="00C13C71">
            <w:pPr>
              <w:pStyle w:val="Default"/>
              <w:jc w:val="both"/>
              <w:rPr>
                <w:color w:val="auto"/>
              </w:rPr>
            </w:pPr>
            <w:r w:rsidRPr="00D54D64">
              <w:rPr>
                <w:color w:val="auto"/>
              </w:rPr>
              <w:t>The provision is obsolete as the scheme has been subsumed under the Global Trader Programme on 1 June 2001.</w:t>
            </w:r>
          </w:p>
        </w:tc>
        <w:tc>
          <w:tcPr>
            <w:tcW w:w="941" w:type="pct"/>
            <w:shd w:val="clear" w:color="auto" w:fill="auto"/>
          </w:tcPr>
          <w:p w:rsidR="00640A9B" w:rsidRPr="00D54D64" w:rsidRDefault="00640A9B" w:rsidP="00001C9D">
            <w:r w:rsidRPr="00D54D64">
              <w:t>Section 43F</w:t>
            </w:r>
          </w:p>
          <w:p w:rsidR="00640A9B" w:rsidRPr="00D54D64" w:rsidRDefault="00F818C6" w:rsidP="00001C9D">
            <w:r w:rsidRPr="00D54D64">
              <w:t>[Clause 58</w:t>
            </w:r>
            <w:r w:rsidR="00640A9B" w:rsidRPr="00D54D64">
              <w:t>]</w:t>
            </w:r>
          </w:p>
          <w:p w:rsidR="00640A9B" w:rsidRPr="00D54D64" w:rsidRDefault="00640A9B" w:rsidP="00001C9D"/>
          <w:p w:rsidR="00640A9B" w:rsidRPr="00D54D64" w:rsidRDefault="00640A9B" w:rsidP="00001C9D">
            <w:r w:rsidRPr="00D54D64">
              <w:t>Consequential amendment to Economic Expansion Incentives (Relief from Income Tax) Act Section 66</w:t>
            </w:r>
          </w:p>
          <w:p w:rsidR="00640A9B" w:rsidRPr="00D54D64" w:rsidRDefault="00F818C6" w:rsidP="00001C9D">
            <w:r w:rsidRPr="00D54D64">
              <w:t>[Clause 60]</w:t>
            </w:r>
          </w:p>
          <w:p w:rsidR="00F818C6" w:rsidRPr="00D54D64" w:rsidRDefault="00F818C6" w:rsidP="00001C9D"/>
        </w:tc>
      </w:tr>
      <w:tr w:rsidR="00640A9B" w:rsidRPr="00D54D64" w:rsidTr="007B0C8A">
        <w:trPr>
          <w:jc w:val="center"/>
        </w:trPr>
        <w:tc>
          <w:tcPr>
            <w:tcW w:w="338" w:type="pct"/>
            <w:shd w:val="clear" w:color="auto" w:fill="auto"/>
          </w:tcPr>
          <w:p w:rsidR="00640A9B" w:rsidRPr="00D54D64" w:rsidRDefault="00640A9B">
            <w:pPr>
              <w:widowControl w:val="0"/>
              <w:numPr>
                <w:ilvl w:val="0"/>
                <w:numId w:val="26"/>
              </w:numPr>
              <w:rPr>
                <w:rFonts w:eastAsia="PMingLiU"/>
                <w:b/>
              </w:rPr>
            </w:pPr>
          </w:p>
        </w:tc>
        <w:tc>
          <w:tcPr>
            <w:tcW w:w="1142" w:type="pct"/>
            <w:shd w:val="clear" w:color="auto" w:fill="auto"/>
          </w:tcPr>
          <w:p w:rsidR="00640A9B" w:rsidRPr="00D54D64" w:rsidRDefault="00640A9B" w:rsidP="00B0657E">
            <w:r w:rsidRPr="00D54D64">
              <w:t>Repeal the provision relating to international commodity trading company under Section 43H</w:t>
            </w:r>
          </w:p>
          <w:p w:rsidR="00640A9B" w:rsidRPr="00D54D64" w:rsidRDefault="00640A9B" w:rsidP="00001C9D">
            <w:pPr>
              <w:jc w:val="both"/>
            </w:pPr>
          </w:p>
        </w:tc>
        <w:tc>
          <w:tcPr>
            <w:tcW w:w="2579" w:type="pct"/>
            <w:shd w:val="clear" w:color="auto" w:fill="auto"/>
          </w:tcPr>
          <w:p w:rsidR="00640A9B" w:rsidRPr="00D54D64" w:rsidRDefault="00640A9B" w:rsidP="00B0657E">
            <w:pPr>
              <w:pStyle w:val="Default"/>
              <w:jc w:val="both"/>
              <w:rPr>
                <w:color w:val="auto"/>
              </w:rPr>
            </w:pPr>
            <w:r w:rsidRPr="00D54D64">
              <w:rPr>
                <w:color w:val="auto"/>
              </w:rPr>
              <w:t>The provision is obsolete as the scheme has been subsumed under the Global Trader Programme on 1 June 2001.</w:t>
            </w:r>
          </w:p>
          <w:p w:rsidR="00640A9B" w:rsidRPr="00D54D64" w:rsidRDefault="00640A9B" w:rsidP="00C13C71">
            <w:pPr>
              <w:pStyle w:val="Default"/>
              <w:jc w:val="both"/>
              <w:rPr>
                <w:color w:val="auto"/>
              </w:rPr>
            </w:pPr>
          </w:p>
        </w:tc>
        <w:tc>
          <w:tcPr>
            <w:tcW w:w="941" w:type="pct"/>
            <w:shd w:val="clear" w:color="auto" w:fill="auto"/>
          </w:tcPr>
          <w:p w:rsidR="00640A9B" w:rsidRPr="00D54D64" w:rsidRDefault="00640A9B" w:rsidP="00B0657E">
            <w:r w:rsidRPr="00D54D64">
              <w:t>Section 43H</w:t>
            </w:r>
          </w:p>
          <w:p w:rsidR="00640A9B" w:rsidRPr="00D54D64" w:rsidRDefault="00640A9B" w:rsidP="00640A9B">
            <w:r w:rsidRPr="00D54D64">
              <w:t xml:space="preserve">[Clause </w:t>
            </w:r>
            <w:r w:rsidR="00F818C6" w:rsidRPr="00D54D64">
              <w:t>58</w:t>
            </w:r>
            <w:r w:rsidRPr="00D54D64">
              <w:t>]</w:t>
            </w:r>
          </w:p>
          <w:p w:rsidR="00640A9B" w:rsidRPr="00D54D64" w:rsidRDefault="00640A9B" w:rsidP="00B0657E"/>
          <w:p w:rsidR="00640A9B" w:rsidRPr="00D54D64" w:rsidRDefault="00640A9B" w:rsidP="00B0657E">
            <w:r w:rsidRPr="00D54D64">
              <w:t>Consequential amendment to Economic Expansion Incentives (Relief from Income Tax) Act Section 66</w:t>
            </w:r>
          </w:p>
          <w:p w:rsidR="00F818C6" w:rsidRPr="00D54D64" w:rsidRDefault="00F818C6" w:rsidP="00F818C6">
            <w:r w:rsidRPr="00D54D64">
              <w:t>[Clause 60]</w:t>
            </w:r>
          </w:p>
          <w:p w:rsidR="00640A9B" w:rsidRPr="00D54D64" w:rsidRDefault="00640A9B" w:rsidP="00B0657E"/>
        </w:tc>
      </w:tr>
      <w:tr w:rsidR="00640A9B" w:rsidRPr="00D54D64" w:rsidTr="007B0C8A">
        <w:trPr>
          <w:jc w:val="center"/>
        </w:trPr>
        <w:tc>
          <w:tcPr>
            <w:tcW w:w="338" w:type="pct"/>
            <w:shd w:val="clear" w:color="auto" w:fill="auto"/>
          </w:tcPr>
          <w:p w:rsidR="00640A9B" w:rsidRPr="00D54D64" w:rsidRDefault="00640A9B">
            <w:pPr>
              <w:widowControl w:val="0"/>
              <w:numPr>
                <w:ilvl w:val="0"/>
                <w:numId w:val="26"/>
              </w:numPr>
              <w:rPr>
                <w:rFonts w:eastAsia="PMingLiU"/>
                <w:b/>
              </w:rPr>
            </w:pPr>
          </w:p>
        </w:tc>
        <w:tc>
          <w:tcPr>
            <w:tcW w:w="1142" w:type="pct"/>
            <w:shd w:val="clear" w:color="auto" w:fill="auto"/>
          </w:tcPr>
          <w:p w:rsidR="00640A9B" w:rsidRPr="00D54D64" w:rsidRDefault="00640A9B" w:rsidP="00001C9D">
            <w:pPr>
              <w:jc w:val="both"/>
            </w:pPr>
            <w:r w:rsidRPr="00D54D64">
              <w:t>Repeal the provision relating to members of Singapore Commodity Exchange Ltd, etc. under Section 43K</w:t>
            </w:r>
          </w:p>
        </w:tc>
        <w:tc>
          <w:tcPr>
            <w:tcW w:w="2579" w:type="pct"/>
            <w:shd w:val="clear" w:color="auto" w:fill="auto"/>
          </w:tcPr>
          <w:p w:rsidR="00640A9B" w:rsidRPr="00D54D64" w:rsidRDefault="00640A9B" w:rsidP="00B0657E">
            <w:pPr>
              <w:pStyle w:val="Default"/>
              <w:jc w:val="both"/>
              <w:rPr>
                <w:color w:val="auto"/>
              </w:rPr>
            </w:pPr>
            <w:r w:rsidRPr="00D54D64">
              <w:rPr>
                <w:color w:val="auto"/>
              </w:rPr>
              <w:t>The provision is obsolete as the scheme has been subsumed under the financial sector incentive scheme on 1 January 2011.</w:t>
            </w:r>
          </w:p>
          <w:p w:rsidR="00640A9B" w:rsidRPr="00D54D64" w:rsidRDefault="00640A9B" w:rsidP="00C13C71">
            <w:pPr>
              <w:pStyle w:val="Default"/>
              <w:jc w:val="both"/>
              <w:rPr>
                <w:color w:val="auto"/>
              </w:rPr>
            </w:pPr>
          </w:p>
        </w:tc>
        <w:tc>
          <w:tcPr>
            <w:tcW w:w="941" w:type="pct"/>
            <w:shd w:val="clear" w:color="auto" w:fill="auto"/>
          </w:tcPr>
          <w:p w:rsidR="00640A9B" w:rsidRPr="00D54D64" w:rsidRDefault="00640A9B" w:rsidP="00001C9D">
            <w:r w:rsidRPr="00D54D64">
              <w:t xml:space="preserve">Section 43K </w:t>
            </w:r>
          </w:p>
          <w:p w:rsidR="00352D04" w:rsidRPr="00D54D64" w:rsidRDefault="00352D04" w:rsidP="00352D04">
            <w:r w:rsidRPr="00D54D64">
              <w:t xml:space="preserve">[Clause </w:t>
            </w:r>
            <w:r w:rsidR="00F818C6" w:rsidRPr="00D54D64">
              <w:t>58</w:t>
            </w:r>
            <w:r w:rsidRPr="00D54D64">
              <w:t>]</w:t>
            </w:r>
          </w:p>
          <w:p w:rsidR="00352D04" w:rsidRPr="00D54D64" w:rsidRDefault="00352D04" w:rsidP="00001C9D"/>
          <w:p w:rsidR="00640A9B" w:rsidRPr="00D54D64" w:rsidRDefault="00640A9B" w:rsidP="00001C9D"/>
          <w:p w:rsidR="00640A9B" w:rsidRPr="00D54D64" w:rsidRDefault="00640A9B" w:rsidP="00001C9D">
            <w:r w:rsidRPr="00D54D64">
              <w:t>Consequential amendment to Economic Expansion Incentives (Relief from Income Tax) Act Section 66</w:t>
            </w:r>
          </w:p>
          <w:p w:rsidR="00F818C6" w:rsidRPr="00D54D64" w:rsidRDefault="00F818C6" w:rsidP="00F818C6">
            <w:r w:rsidRPr="00D54D64">
              <w:t>[Clause 60]</w:t>
            </w:r>
          </w:p>
          <w:p w:rsidR="00640A9B" w:rsidRPr="00D54D64" w:rsidRDefault="00640A9B" w:rsidP="00001C9D"/>
        </w:tc>
      </w:tr>
      <w:tr w:rsidR="00640A9B" w:rsidRPr="00D54D64" w:rsidTr="007B0C8A">
        <w:trPr>
          <w:jc w:val="center"/>
        </w:trPr>
        <w:tc>
          <w:tcPr>
            <w:tcW w:w="338" w:type="pct"/>
            <w:shd w:val="clear" w:color="auto" w:fill="auto"/>
          </w:tcPr>
          <w:p w:rsidR="00640A9B" w:rsidRPr="00D54D64" w:rsidRDefault="00640A9B">
            <w:pPr>
              <w:widowControl w:val="0"/>
              <w:numPr>
                <w:ilvl w:val="0"/>
                <w:numId w:val="26"/>
              </w:numPr>
              <w:rPr>
                <w:rFonts w:eastAsia="PMingLiU"/>
                <w:b/>
              </w:rPr>
            </w:pPr>
          </w:p>
        </w:tc>
        <w:tc>
          <w:tcPr>
            <w:tcW w:w="1142" w:type="pct"/>
            <w:shd w:val="clear" w:color="auto" w:fill="auto"/>
          </w:tcPr>
          <w:p w:rsidR="00640A9B" w:rsidRPr="00D54D64" w:rsidRDefault="00640A9B" w:rsidP="00B0657E">
            <w:r w:rsidRPr="00D54D64">
              <w:t>Repeal the provision relating to commodity derivatives trading company under Section 43S</w:t>
            </w:r>
          </w:p>
          <w:p w:rsidR="00640A9B" w:rsidRPr="00D54D64" w:rsidRDefault="00640A9B" w:rsidP="00001C9D">
            <w:pPr>
              <w:jc w:val="both"/>
            </w:pPr>
          </w:p>
        </w:tc>
        <w:tc>
          <w:tcPr>
            <w:tcW w:w="2579" w:type="pct"/>
            <w:shd w:val="clear" w:color="auto" w:fill="auto"/>
          </w:tcPr>
          <w:p w:rsidR="00640A9B" w:rsidRPr="00D54D64" w:rsidRDefault="00640A9B" w:rsidP="00A510B4">
            <w:pPr>
              <w:pStyle w:val="Default"/>
              <w:jc w:val="both"/>
              <w:rPr>
                <w:color w:val="auto"/>
              </w:rPr>
            </w:pPr>
            <w:r w:rsidRPr="00D54D64">
              <w:rPr>
                <w:color w:val="auto"/>
              </w:rPr>
              <w:t>The provision is obsolete as the scheme has been subsumed under the financial sector incentive scheme on 26 February 2009.</w:t>
            </w:r>
          </w:p>
          <w:p w:rsidR="00640A9B" w:rsidRPr="00D54D64" w:rsidRDefault="00640A9B" w:rsidP="00B0657E">
            <w:pPr>
              <w:pStyle w:val="Default"/>
              <w:jc w:val="both"/>
              <w:rPr>
                <w:color w:val="auto"/>
              </w:rPr>
            </w:pPr>
          </w:p>
        </w:tc>
        <w:tc>
          <w:tcPr>
            <w:tcW w:w="941" w:type="pct"/>
            <w:shd w:val="clear" w:color="auto" w:fill="auto"/>
          </w:tcPr>
          <w:p w:rsidR="00640A9B" w:rsidRPr="00D54D64" w:rsidRDefault="00640A9B" w:rsidP="00B0657E">
            <w:r w:rsidRPr="00D54D64">
              <w:t>Section 43S</w:t>
            </w:r>
          </w:p>
          <w:p w:rsidR="00352D04" w:rsidRPr="00D54D64" w:rsidRDefault="00352D04" w:rsidP="00352D04">
            <w:r w:rsidRPr="00D54D64">
              <w:t xml:space="preserve">[Clause </w:t>
            </w:r>
            <w:r w:rsidR="00F818C6" w:rsidRPr="00D54D64">
              <w:t>58</w:t>
            </w:r>
            <w:r w:rsidRPr="00D54D64">
              <w:t>]</w:t>
            </w:r>
          </w:p>
          <w:p w:rsidR="00640A9B" w:rsidRPr="00D54D64" w:rsidRDefault="00640A9B" w:rsidP="00B0657E"/>
          <w:p w:rsidR="00640A9B" w:rsidRPr="00D54D64" w:rsidRDefault="00640A9B" w:rsidP="00B0657E">
            <w:r w:rsidRPr="00D54D64">
              <w:t>Consequential amendment to Economic Expansion Incentives (Relief from Income Tax) Act Section 66</w:t>
            </w:r>
          </w:p>
          <w:p w:rsidR="00F818C6" w:rsidRPr="00D54D64" w:rsidRDefault="00F818C6" w:rsidP="00F818C6">
            <w:r w:rsidRPr="00D54D64">
              <w:t>[Clause 60]</w:t>
            </w:r>
          </w:p>
          <w:p w:rsidR="00640A9B" w:rsidRPr="00D54D64" w:rsidRDefault="00640A9B" w:rsidP="00B0657E"/>
        </w:tc>
      </w:tr>
      <w:tr w:rsidR="00640A9B" w:rsidRPr="00D54D64" w:rsidTr="007B0C8A">
        <w:trPr>
          <w:jc w:val="center"/>
        </w:trPr>
        <w:tc>
          <w:tcPr>
            <w:tcW w:w="338" w:type="pct"/>
            <w:shd w:val="clear" w:color="auto" w:fill="auto"/>
          </w:tcPr>
          <w:p w:rsidR="00640A9B" w:rsidRPr="00D54D64" w:rsidRDefault="00640A9B">
            <w:pPr>
              <w:widowControl w:val="0"/>
              <w:numPr>
                <w:ilvl w:val="0"/>
                <w:numId w:val="26"/>
              </w:numPr>
              <w:rPr>
                <w:rFonts w:eastAsia="PMingLiU"/>
                <w:b/>
              </w:rPr>
            </w:pPr>
          </w:p>
        </w:tc>
        <w:tc>
          <w:tcPr>
            <w:tcW w:w="1142" w:type="pct"/>
            <w:shd w:val="clear" w:color="auto" w:fill="auto"/>
          </w:tcPr>
          <w:p w:rsidR="00640A9B" w:rsidRPr="00D54D64" w:rsidRDefault="00640A9B" w:rsidP="00B0657E">
            <w:r w:rsidRPr="00D54D64">
              <w:t>Repeal the provision relating to income derived from securities lending or repurchase arrangement under Section 43T</w:t>
            </w:r>
          </w:p>
          <w:p w:rsidR="00640A9B" w:rsidRPr="00D54D64" w:rsidRDefault="00640A9B" w:rsidP="00B0657E">
            <w:pPr>
              <w:jc w:val="center"/>
            </w:pPr>
          </w:p>
        </w:tc>
        <w:tc>
          <w:tcPr>
            <w:tcW w:w="2579" w:type="pct"/>
            <w:shd w:val="clear" w:color="auto" w:fill="auto"/>
          </w:tcPr>
          <w:p w:rsidR="00640A9B" w:rsidRPr="00D54D64" w:rsidRDefault="00640A9B" w:rsidP="00A510B4">
            <w:pPr>
              <w:pStyle w:val="Default"/>
              <w:jc w:val="both"/>
              <w:rPr>
                <w:color w:val="auto"/>
              </w:rPr>
            </w:pPr>
            <w:r w:rsidRPr="00D54D64">
              <w:rPr>
                <w:color w:val="auto"/>
              </w:rPr>
              <w:t>The provision is obsolete as the scheme has expired on 31 December 2008.</w:t>
            </w:r>
          </w:p>
          <w:p w:rsidR="00640A9B" w:rsidRPr="00D54D64" w:rsidRDefault="00640A9B" w:rsidP="00B0657E">
            <w:pPr>
              <w:pStyle w:val="Default"/>
              <w:jc w:val="both"/>
              <w:rPr>
                <w:color w:val="auto"/>
              </w:rPr>
            </w:pPr>
          </w:p>
        </w:tc>
        <w:tc>
          <w:tcPr>
            <w:tcW w:w="941" w:type="pct"/>
            <w:shd w:val="clear" w:color="auto" w:fill="auto"/>
          </w:tcPr>
          <w:p w:rsidR="00640A9B" w:rsidRPr="00D54D64" w:rsidRDefault="00640A9B" w:rsidP="00B0657E">
            <w:r w:rsidRPr="00D54D64">
              <w:t>Section 43T</w:t>
            </w:r>
          </w:p>
          <w:p w:rsidR="00352D04" w:rsidRPr="00D54D64" w:rsidRDefault="00352D04" w:rsidP="00352D04">
            <w:r w:rsidRPr="00D54D64">
              <w:t xml:space="preserve">[Clause </w:t>
            </w:r>
            <w:r w:rsidR="00F818C6" w:rsidRPr="00D54D64">
              <w:t>58</w:t>
            </w:r>
            <w:r w:rsidRPr="00D54D64">
              <w:t>]</w:t>
            </w:r>
          </w:p>
          <w:p w:rsidR="00640A9B" w:rsidRPr="00D54D64" w:rsidRDefault="00640A9B" w:rsidP="00B0657E"/>
          <w:p w:rsidR="00640A9B" w:rsidRPr="00D54D64" w:rsidRDefault="00640A9B" w:rsidP="00B0657E">
            <w:r w:rsidRPr="00D54D64">
              <w:t>Consequential amendment to Economic Expansion Incentives (Relief from Income Tax) Act Section 66</w:t>
            </w:r>
          </w:p>
          <w:p w:rsidR="00F818C6" w:rsidRPr="00D54D64" w:rsidRDefault="00F818C6" w:rsidP="00F818C6">
            <w:r w:rsidRPr="00D54D64">
              <w:t>[Clause 60]</w:t>
            </w:r>
          </w:p>
          <w:p w:rsidR="00640A9B" w:rsidRPr="00D54D64" w:rsidRDefault="00640A9B" w:rsidP="00B0657E"/>
        </w:tc>
      </w:tr>
      <w:tr w:rsidR="00640A9B" w:rsidRPr="00352D04" w:rsidTr="007B0C8A">
        <w:trPr>
          <w:jc w:val="center"/>
        </w:trPr>
        <w:tc>
          <w:tcPr>
            <w:tcW w:w="338" w:type="pct"/>
            <w:shd w:val="clear" w:color="auto" w:fill="auto"/>
          </w:tcPr>
          <w:p w:rsidR="00640A9B" w:rsidRPr="00D54D64" w:rsidRDefault="00640A9B">
            <w:pPr>
              <w:widowControl w:val="0"/>
              <w:numPr>
                <w:ilvl w:val="0"/>
                <w:numId w:val="26"/>
              </w:numPr>
              <w:rPr>
                <w:rFonts w:eastAsia="PMingLiU"/>
                <w:b/>
              </w:rPr>
            </w:pPr>
          </w:p>
        </w:tc>
        <w:tc>
          <w:tcPr>
            <w:tcW w:w="1142" w:type="pct"/>
            <w:shd w:val="clear" w:color="auto" w:fill="auto"/>
          </w:tcPr>
          <w:p w:rsidR="00640A9B" w:rsidRPr="00D54D64" w:rsidRDefault="00640A9B" w:rsidP="00B0657E">
            <w:r w:rsidRPr="00D54D64">
              <w:t>Repeal the provision relating to clearing members of Singapore clearing house under Section 43V</w:t>
            </w:r>
          </w:p>
          <w:p w:rsidR="00640A9B" w:rsidRPr="00D54D64" w:rsidRDefault="00640A9B" w:rsidP="00001C9D">
            <w:pPr>
              <w:jc w:val="both"/>
            </w:pPr>
          </w:p>
        </w:tc>
        <w:tc>
          <w:tcPr>
            <w:tcW w:w="2579" w:type="pct"/>
            <w:shd w:val="clear" w:color="auto" w:fill="auto"/>
          </w:tcPr>
          <w:p w:rsidR="00640A9B" w:rsidRPr="00D54D64" w:rsidRDefault="00640A9B" w:rsidP="00A510B4">
            <w:pPr>
              <w:pStyle w:val="Default"/>
              <w:jc w:val="both"/>
              <w:rPr>
                <w:color w:val="auto"/>
              </w:rPr>
            </w:pPr>
            <w:r w:rsidRPr="00D54D64">
              <w:rPr>
                <w:color w:val="auto"/>
              </w:rPr>
              <w:t>The provision is obsolete as the scheme has expired on 16 February 2011.</w:t>
            </w:r>
          </w:p>
          <w:p w:rsidR="00640A9B" w:rsidRPr="00D54D64" w:rsidRDefault="00640A9B" w:rsidP="00B0657E">
            <w:pPr>
              <w:pStyle w:val="Default"/>
              <w:jc w:val="both"/>
              <w:rPr>
                <w:color w:val="auto"/>
              </w:rPr>
            </w:pPr>
          </w:p>
        </w:tc>
        <w:tc>
          <w:tcPr>
            <w:tcW w:w="941" w:type="pct"/>
            <w:shd w:val="clear" w:color="auto" w:fill="auto"/>
          </w:tcPr>
          <w:p w:rsidR="00640A9B" w:rsidRPr="00D54D64" w:rsidRDefault="00640A9B" w:rsidP="00B0657E">
            <w:r w:rsidRPr="00D54D64">
              <w:t>Section 43V</w:t>
            </w:r>
          </w:p>
          <w:p w:rsidR="00352D04" w:rsidRPr="00D54D64" w:rsidRDefault="00352D04" w:rsidP="00352D04">
            <w:r w:rsidRPr="00D54D64">
              <w:t xml:space="preserve">[Clause </w:t>
            </w:r>
            <w:r w:rsidR="00F818C6" w:rsidRPr="00D54D64">
              <w:t>58</w:t>
            </w:r>
            <w:r w:rsidRPr="00D54D64">
              <w:t>]</w:t>
            </w:r>
          </w:p>
          <w:p w:rsidR="00640A9B" w:rsidRPr="00D54D64" w:rsidRDefault="00640A9B" w:rsidP="00B0657E"/>
          <w:p w:rsidR="00640A9B" w:rsidRPr="00D54D64" w:rsidRDefault="00640A9B" w:rsidP="00B0657E">
            <w:r w:rsidRPr="00D54D64">
              <w:t>Consequential amendment to Economic Expansion Incentives (Relief from Income Tax) Act Section 66</w:t>
            </w:r>
          </w:p>
          <w:p w:rsidR="00F818C6" w:rsidRDefault="00F818C6" w:rsidP="00F818C6">
            <w:r w:rsidRPr="00D54D64">
              <w:t>[Clause 60]</w:t>
            </w:r>
          </w:p>
          <w:p w:rsidR="00640A9B" w:rsidRPr="00352D04" w:rsidRDefault="00640A9B" w:rsidP="00B0657E"/>
        </w:tc>
      </w:tr>
      <w:bookmarkEnd w:id="0"/>
    </w:tbl>
    <w:p w:rsidR="001658FB" w:rsidRPr="00352D04" w:rsidRDefault="001658FB" w:rsidP="000F6F83"/>
    <w:sectPr w:rsidR="001658FB" w:rsidRPr="00352D04" w:rsidSect="00860C1A">
      <w:footerReference w:type="even" r:id="rId13"/>
      <w:footerReference w:type="default" r:id="rId14"/>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C10" w:rsidRDefault="00565C10">
      <w:r>
        <w:separator/>
      </w:r>
    </w:p>
  </w:endnote>
  <w:endnote w:type="continuationSeparator" w:id="0">
    <w:p w:rsidR="00565C10" w:rsidRDefault="00565C10">
      <w:r>
        <w:continuationSeparator/>
      </w:r>
    </w:p>
  </w:endnote>
  <w:endnote w:type="continuationNotice" w:id="1">
    <w:p w:rsidR="00565C10" w:rsidRDefault="00565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0B4" w:rsidRDefault="00A510B4" w:rsidP="00BA73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10B4" w:rsidRDefault="00A510B4" w:rsidP="00BA73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8056"/>
      <w:docPartObj>
        <w:docPartGallery w:val="Page Numbers (Bottom of Page)"/>
        <w:docPartUnique/>
      </w:docPartObj>
    </w:sdtPr>
    <w:sdtEndPr/>
    <w:sdtContent>
      <w:p w:rsidR="00A510B4" w:rsidRDefault="00A510B4">
        <w:pPr>
          <w:pStyle w:val="Footer"/>
          <w:jc w:val="right"/>
        </w:pPr>
        <w:r>
          <w:fldChar w:fldCharType="begin"/>
        </w:r>
        <w:r>
          <w:instrText xml:space="preserve"> PAGE   \* MERGEFORMAT </w:instrText>
        </w:r>
        <w:r>
          <w:fldChar w:fldCharType="separate"/>
        </w:r>
        <w:r w:rsidR="00F5533F">
          <w:rPr>
            <w:noProof/>
          </w:rPr>
          <w:t>12</w:t>
        </w:r>
        <w:r>
          <w:rPr>
            <w:noProof/>
          </w:rPr>
          <w:fldChar w:fldCharType="end"/>
        </w:r>
      </w:p>
    </w:sdtContent>
  </w:sdt>
  <w:p w:rsidR="00A510B4" w:rsidRDefault="00A510B4" w:rsidP="00BA732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C10" w:rsidRDefault="00565C10">
      <w:r>
        <w:separator/>
      </w:r>
    </w:p>
  </w:footnote>
  <w:footnote w:type="continuationSeparator" w:id="0">
    <w:p w:rsidR="00565C10" w:rsidRDefault="00565C10">
      <w:r>
        <w:continuationSeparator/>
      </w:r>
    </w:p>
  </w:footnote>
  <w:footnote w:type="continuationNotice" w:id="1">
    <w:p w:rsidR="00565C10" w:rsidRDefault="00565C1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D67"/>
    <w:multiLevelType w:val="hybridMultilevel"/>
    <w:tmpl w:val="07F20CFE"/>
    <w:lvl w:ilvl="0" w:tplc="28A6EE4E">
      <w:start w:val="1"/>
      <w:numFmt w:val="decimal"/>
      <w:lvlText w:val="%1"/>
      <w:lvlJc w:val="righ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05914537"/>
    <w:multiLevelType w:val="multilevel"/>
    <w:tmpl w:val="2D02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0779F"/>
    <w:multiLevelType w:val="hybridMultilevel"/>
    <w:tmpl w:val="39221572"/>
    <w:lvl w:ilvl="0" w:tplc="96666EE8">
      <w:start w:val="1"/>
      <w:numFmt w:val="lowerLetter"/>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0B9F7F56"/>
    <w:multiLevelType w:val="hybridMultilevel"/>
    <w:tmpl w:val="971801CC"/>
    <w:lvl w:ilvl="0" w:tplc="0809000F">
      <w:start w:val="1"/>
      <w:numFmt w:val="decimal"/>
      <w:lvlText w:val="%1."/>
      <w:lvlJc w:val="left"/>
      <w:pPr>
        <w:ind w:left="360" w:hanging="360"/>
      </w:p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D9D02BA"/>
    <w:multiLevelType w:val="hybridMultilevel"/>
    <w:tmpl w:val="159C522E"/>
    <w:lvl w:ilvl="0" w:tplc="9E80FDFE">
      <w:start w:val="1"/>
      <w:numFmt w:val="lowerLetter"/>
      <w:lvlText w:val="(%1)"/>
      <w:lvlJc w:val="left"/>
      <w:pPr>
        <w:ind w:left="720" w:hanging="360"/>
      </w:pPr>
      <w:rPr>
        <w:rFonts w:hint="default"/>
        <w:b w:val="0"/>
      </w:rPr>
    </w:lvl>
    <w:lvl w:ilvl="1" w:tplc="0C207D28">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1E1F6E"/>
    <w:multiLevelType w:val="hybridMultilevel"/>
    <w:tmpl w:val="159C522E"/>
    <w:lvl w:ilvl="0" w:tplc="9E80FDFE">
      <w:start w:val="1"/>
      <w:numFmt w:val="lowerLetter"/>
      <w:lvlText w:val="(%1)"/>
      <w:lvlJc w:val="left"/>
      <w:pPr>
        <w:ind w:left="720" w:hanging="360"/>
      </w:pPr>
      <w:rPr>
        <w:rFonts w:hint="default"/>
        <w:b w:val="0"/>
      </w:rPr>
    </w:lvl>
    <w:lvl w:ilvl="1" w:tplc="0C207D28">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757E8B"/>
    <w:multiLevelType w:val="multilevel"/>
    <w:tmpl w:val="75D4B268"/>
    <w:lvl w:ilvl="0">
      <w:start w:val="1"/>
      <w:numFmt w:val="lowerRoman"/>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DB548E"/>
    <w:multiLevelType w:val="multilevel"/>
    <w:tmpl w:val="45DC9DAE"/>
    <w:lvl w:ilvl="0">
      <w:start w:val="1"/>
      <w:numFmt w:val="lowerRoman"/>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8E7780"/>
    <w:multiLevelType w:val="multilevel"/>
    <w:tmpl w:val="7E1EE4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485A09"/>
    <w:multiLevelType w:val="multilevel"/>
    <w:tmpl w:val="A428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D85E4D"/>
    <w:multiLevelType w:val="hybridMultilevel"/>
    <w:tmpl w:val="6F84B44A"/>
    <w:lvl w:ilvl="0" w:tplc="2CBECE5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nsid w:val="31F25ED3"/>
    <w:multiLevelType w:val="hybridMultilevel"/>
    <w:tmpl w:val="FE28EA74"/>
    <w:lvl w:ilvl="0" w:tplc="2B5A85CC">
      <w:start w:val="1"/>
      <w:numFmt w:val="lowerLetter"/>
      <w:lvlText w:val="%1)"/>
      <w:lvlJc w:val="left"/>
      <w:pPr>
        <w:ind w:left="1080" w:hanging="720"/>
      </w:pPr>
      <w:rPr>
        <w:b w:val="0"/>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2">
    <w:nsid w:val="3A1031E1"/>
    <w:multiLevelType w:val="multilevel"/>
    <w:tmpl w:val="880477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434C1030"/>
    <w:multiLevelType w:val="hybridMultilevel"/>
    <w:tmpl w:val="F258D0F0"/>
    <w:lvl w:ilvl="0" w:tplc="CFB2732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nsid w:val="443025A6"/>
    <w:multiLevelType w:val="hybridMultilevel"/>
    <w:tmpl w:val="57DC0E72"/>
    <w:lvl w:ilvl="0" w:tplc="48090017">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5">
    <w:nsid w:val="465D3341"/>
    <w:multiLevelType w:val="hybridMultilevel"/>
    <w:tmpl w:val="D292CA84"/>
    <w:lvl w:ilvl="0" w:tplc="B0E6D2EC">
      <w:start w:val="1"/>
      <w:numFmt w:val="lowerLetter"/>
      <w:lvlText w:val="%1)"/>
      <w:lvlJc w:val="left"/>
      <w:pPr>
        <w:ind w:left="360" w:hanging="360"/>
      </w:pPr>
      <w:rPr>
        <w:rFonts w:hint="default"/>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6">
    <w:nsid w:val="49E64615"/>
    <w:multiLevelType w:val="hybridMultilevel"/>
    <w:tmpl w:val="A7248460"/>
    <w:lvl w:ilvl="0" w:tplc="0BC61A70">
      <w:start w:val="1"/>
      <w:numFmt w:val="lowerLetter"/>
      <w:lvlText w:val="%1)"/>
      <w:lvlJc w:val="left"/>
      <w:pPr>
        <w:ind w:left="1569"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7">
    <w:nsid w:val="52B10DD8"/>
    <w:multiLevelType w:val="hybridMultilevel"/>
    <w:tmpl w:val="D292CA84"/>
    <w:lvl w:ilvl="0" w:tplc="B0E6D2EC">
      <w:start w:val="1"/>
      <w:numFmt w:val="lowerLetter"/>
      <w:lvlText w:val="%1)"/>
      <w:lvlJc w:val="left"/>
      <w:pPr>
        <w:ind w:left="360" w:hanging="360"/>
      </w:pPr>
      <w:rPr>
        <w:rFonts w:hint="default"/>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8">
    <w:nsid w:val="55915F99"/>
    <w:multiLevelType w:val="hybridMultilevel"/>
    <w:tmpl w:val="7572F978"/>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nsid w:val="59F42180"/>
    <w:multiLevelType w:val="hybridMultilevel"/>
    <w:tmpl w:val="A45E297E"/>
    <w:lvl w:ilvl="0" w:tplc="5B6CCBB0">
      <w:start w:val="2"/>
      <w:numFmt w:val="decimal"/>
      <w:lvlText w:val="%1."/>
      <w:lvlJc w:val="left"/>
      <w:pPr>
        <w:ind w:left="720" w:hanging="360"/>
      </w:pPr>
      <w:rPr>
        <w:rFonts w:hint="default"/>
        <w:b w:val="0"/>
      </w:rPr>
    </w:lvl>
    <w:lvl w:ilvl="1" w:tplc="DAF0AAD6">
      <w:start w:val="1"/>
      <w:numFmt w:val="lowerLetter"/>
      <w:lvlText w:val="%2)"/>
      <w:lvlJc w:val="left"/>
      <w:pPr>
        <w:ind w:left="1440" w:hanging="360"/>
      </w:pPr>
      <w:rPr>
        <w:b w:val="0"/>
      </w:rPr>
    </w:lvl>
    <w:lvl w:ilvl="2" w:tplc="4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D2405B5"/>
    <w:multiLevelType w:val="hybridMultilevel"/>
    <w:tmpl w:val="AB54552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nsid w:val="650D7545"/>
    <w:multiLevelType w:val="multilevel"/>
    <w:tmpl w:val="65A25E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6BDA4E7C"/>
    <w:multiLevelType w:val="multilevel"/>
    <w:tmpl w:val="608E7B04"/>
    <w:lvl w:ilvl="0">
      <w:start w:val="1"/>
      <w:numFmt w:val="upperLetter"/>
      <w:lvlText w:val="%1."/>
      <w:lvlJc w:val="left"/>
      <w:pPr>
        <w:ind w:left="786" w:hanging="360"/>
      </w:pPr>
      <w:rPr>
        <w:rFonts w:ascii="Arial" w:hAnsi="Arial" w:cs="Arial" w:hint="default"/>
      </w:rPr>
    </w:lvl>
    <w:lvl w:ilvl="1">
      <w:start w:val="1"/>
      <w:numFmt w:val="decimal"/>
      <w:lvlText w:val="%1.%2."/>
      <w:lvlJc w:val="left"/>
      <w:pPr>
        <w:ind w:left="1218" w:hanging="432"/>
      </w:pPr>
      <w:rPr>
        <w:rFonts w:hint="default"/>
        <w:strike w:val="0"/>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pStyle w:val="Heading5"/>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23">
    <w:nsid w:val="6E77111F"/>
    <w:multiLevelType w:val="hybridMultilevel"/>
    <w:tmpl w:val="9746C19A"/>
    <w:lvl w:ilvl="0" w:tplc="A29A591C">
      <w:start w:val="1"/>
      <w:numFmt w:val="lowerLetter"/>
      <w:lvlText w:val="%1)"/>
      <w:lvlJc w:val="left"/>
      <w:pPr>
        <w:ind w:left="720" w:hanging="360"/>
      </w:pPr>
      <w:rPr>
        <w:sz w:val="24"/>
        <w:szCs w:val="24"/>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4">
    <w:nsid w:val="72EF125C"/>
    <w:multiLevelType w:val="multilevel"/>
    <w:tmpl w:val="EF2022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261857"/>
    <w:multiLevelType w:val="hybridMultilevel"/>
    <w:tmpl w:val="0DD87BAA"/>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nsid w:val="75214505"/>
    <w:multiLevelType w:val="hybridMultilevel"/>
    <w:tmpl w:val="19D0AF1E"/>
    <w:lvl w:ilvl="0" w:tplc="28A6EE4E">
      <w:start w:val="1"/>
      <w:numFmt w:val="decimal"/>
      <w:lvlText w:val="%1"/>
      <w:lvlJc w:val="righ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nsid w:val="758E1021"/>
    <w:multiLevelType w:val="hybridMultilevel"/>
    <w:tmpl w:val="01CC3B4A"/>
    <w:lvl w:ilvl="0" w:tplc="9E80FDF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631113A"/>
    <w:multiLevelType w:val="hybridMultilevel"/>
    <w:tmpl w:val="BF387DF0"/>
    <w:lvl w:ilvl="0" w:tplc="4538D5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7CC203F"/>
    <w:multiLevelType w:val="hybridMultilevel"/>
    <w:tmpl w:val="C8260C5C"/>
    <w:lvl w:ilvl="0" w:tplc="1AFC8F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ECD636F"/>
    <w:multiLevelType w:val="hybridMultilevel"/>
    <w:tmpl w:val="306CE4DC"/>
    <w:lvl w:ilvl="0" w:tplc="63400752">
      <w:start w:val="1"/>
      <w:numFmt w:val="lowerLetter"/>
      <w:lvlText w:val="%1)"/>
      <w:lvlJc w:val="left"/>
      <w:pPr>
        <w:ind w:left="720" w:hanging="360"/>
      </w:pPr>
      <w:rPr>
        <w:rFonts w:hint="default"/>
        <w:color w:val="auto"/>
        <w:sz w:val="24"/>
        <w:szCs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2"/>
  </w:num>
  <w:num w:numId="2">
    <w:abstractNumId w:val="0"/>
  </w:num>
  <w:num w:numId="3">
    <w:abstractNumId w:val="3"/>
  </w:num>
  <w:num w:numId="4">
    <w:abstractNumId w:val="9"/>
  </w:num>
  <w:num w:numId="5">
    <w:abstractNumId w:val="8"/>
  </w:num>
  <w:num w:numId="6">
    <w:abstractNumId w:val="1"/>
  </w:num>
  <w:num w:numId="7">
    <w:abstractNumId w:val="12"/>
  </w:num>
  <w:num w:numId="8">
    <w:abstractNumId w:val="21"/>
  </w:num>
  <w:num w:numId="9">
    <w:abstractNumId w:val="29"/>
  </w:num>
  <w:num w:numId="10">
    <w:abstractNumId w:val="7"/>
  </w:num>
  <w:num w:numId="11">
    <w:abstractNumId w:val="24"/>
  </w:num>
  <w:num w:numId="12">
    <w:abstractNumId w:val="13"/>
  </w:num>
  <w:num w:numId="13">
    <w:abstractNumId w:val="6"/>
  </w:num>
  <w:num w:numId="14">
    <w:abstractNumId w:val="28"/>
  </w:num>
  <w:num w:numId="15">
    <w:abstractNumId w:val="4"/>
  </w:num>
  <w:num w:numId="16">
    <w:abstractNumId w:val="27"/>
  </w:num>
  <w:num w:numId="17">
    <w:abstractNumId w:val="3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4"/>
  </w:num>
  <w:num w:numId="26">
    <w:abstractNumId w:val="26"/>
  </w:num>
  <w:num w:numId="27">
    <w:abstractNumId w:val="19"/>
  </w:num>
  <w:num w:numId="28">
    <w:abstractNumId w:val="18"/>
  </w:num>
  <w:num w:numId="29">
    <w:abstractNumId w:val="20"/>
  </w:num>
  <w:num w:numId="30">
    <w:abstractNumId w:val="25"/>
  </w:num>
  <w:num w:numId="31">
    <w:abstractNumId w:val="2"/>
  </w:num>
  <w:num w:numId="3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B02"/>
    <w:rsid w:val="00000048"/>
    <w:rsid w:val="00001C9D"/>
    <w:rsid w:val="00002F54"/>
    <w:rsid w:val="000031AE"/>
    <w:rsid w:val="00003B0E"/>
    <w:rsid w:val="000044DA"/>
    <w:rsid w:val="00004FB7"/>
    <w:rsid w:val="00005562"/>
    <w:rsid w:val="00006AC7"/>
    <w:rsid w:val="00007BE7"/>
    <w:rsid w:val="00011248"/>
    <w:rsid w:val="0001301B"/>
    <w:rsid w:val="00016803"/>
    <w:rsid w:val="00016AF3"/>
    <w:rsid w:val="00020258"/>
    <w:rsid w:val="000241DC"/>
    <w:rsid w:val="00024D9F"/>
    <w:rsid w:val="000258AB"/>
    <w:rsid w:val="00034FBC"/>
    <w:rsid w:val="00036CDF"/>
    <w:rsid w:val="00041C33"/>
    <w:rsid w:val="000439B7"/>
    <w:rsid w:val="00046117"/>
    <w:rsid w:val="00046FD5"/>
    <w:rsid w:val="00050439"/>
    <w:rsid w:val="000511F4"/>
    <w:rsid w:val="000519C6"/>
    <w:rsid w:val="0005277F"/>
    <w:rsid w:val="00056DE9"/>
    <w:rsid w:val="00057396"/>
    <w:rsid w:val="00057D7C"/>
    <w:rsid w:val="00057F34"/>
    <w:rsid w:val="00061429"/>
    <w:rsid w:val="0006157A"/>
    <w:rsid w:val="00063115"/>
    <w:rsid w:val="000632BC"/>
    <w:rsid w:val="000652FC"/>
    <w:rsid w:val="0006673B"/>
    <w:rsid w:val="0006698B"/>
    <w:rsid w:val="000674A5"/>
    <w:rsid w:val="0007034D"/>
    <w:rsid w:val="00070FF3"/>
    <w:rsid w:val="000722CA"/>
    <w:rsid w:val="00073010"/>
    <w:rsid w:val="00076DA3"/>
    <w:rsid w:val="0008357E"/>
    <w:rsid w:val="00084887"/>
    <w:rsid w:val="00084FBD"/>
    <w:rsid w:val="00085341"/>
    <w:rsid w:val="00085E19"/>
    <w:rsid w:val="00086B65"/>
    <w:rsid w:val="0009063E"/>
    <w:rsid w:val="00090F6B"/>
    <w:rsid w:val="000934E4"/>
    <w:rsid w:val="00093EC2"/>
    <w:rsid w:val="00094244"/>
    <w:rsid w:val="00094DF0"/>
    <w:rsid w:val="0009745C"/>
    <w:rsid w:val="00097F5C"/>
    <w:rsid w:val="000A0D21"/>
    <w:rsid w:val="000A2BCE"/>
    <w:rsid w:val="000A55A4"/>
    <w:rsid w:val="000A66A9"/>
    <w:rsid w:val="000A6F5E"/>
    <w:rsid w:val="000B1D58"/>
    <w:rsid w:val="000B1D9F"/>
    <w:rsid w:val="000B1EC4"/>
    <w:rsid w:val="000B253D"/>
    <w:rsid w:val="000B361B"/>
    <w:rsid w:val="000B3C63"/>
    <w:rsid w:val="000B3D57"/>
    <w:rsid w:val="000B7206"/>
    <w:rsid w:val="000B772D"/>
    <w:rsid w:val="000C2BDB"/>
    <w:rsid w:val="000C42E3"/>
    <w:rsid w:val="000C6F24"/>
    <w:rsid w:val="000D4012"/>
    <w:rsid w:val="000D4DBC"/>
    <w:rsid w:val="000D5F41"/>
    <w:rsid w:val="000D7140"/>
    <w:rsid w:val="000D7623"/>
    <w:rsid w:val="000E1263"/>
    <w:rsid w:val="000E1545"/>
    <w:rsid w:val="000E23E6"/>
    <w:rsid w:val="000E3ED5"/>
    <w:rsid w:val="000E42ED"/>
    <w:rsid w:val="000E69B3"/>
    <w:rsid w:val="000E719C"/>
    <w:rsid w:val="000E7FD1"/>
    <w:rsid w:val="000F0B4D"/>
    <w:rsid w:val="000F20DA"/>
    <w:rsid w:val="000F2B99"/>
    <w:rsid w:val="000F5DC2"/>
    <w:rsid w:val="000F6967"/>
    <w:rsid w:val="000F6F83"/>
    <w:rsid w:val="00103615"/>
    <w:rsid w:val="001040D9"/>
    <w:rsid w:val="00105577"/>
    <w:rsid w:val="001061E3"/>
    <w:rsid w:val="00106587"/>
    <w:rsid w:val="00110940"/>
    <w:rsid w:val="0011497A"/>
    <w:rsid w:val="00114C4A"/>
    <w:rsid w:val="00116F37"/>
    <w:rsid w:val="00121C31"/>
    <w:rsid w:val="00123CEA"/>
    <w:rsid w:val="001240D5"/>
    <w:rsid w:val="0012678F"/>
    <w:rsid w:val="00126FE9"/>
    <w:rsid w:val="00127362"/>
    <w:rsid w:val="00127855"/>
    <w:rsid w:val="001278DF"/>
    <w:rsid w:val="001279BD"/>
    <w:rsid w:val="00130426"/>
    <w:rsid w:val="00134B7A"/>
    <w:rsid w:val="001361EB"/>
    <w:rsid w:val="00137C40"/>
    <w:rsid w:val="001429B2"/>
    <w:rsid w:val="00142BCE"/>
    <w:rsid w:val="00147D29"/>
    <w:rsid w:val="001501FB"/>
    <w:rsid w:val="00151B2A"/>
    <w:rsid w:val="001523B6"/>
    <w:rsid w:val="00152C67"/>
    <w:rsid w:val="00156260"/>
    <w:rsid w:val="001562A0"/>
    <w:rsid w:val="00156FB5"/>
    <w:rsid w:val="001605AD"/>
    <w:rsid w:val="00160F80"/>
    <w:rsid w:val="00161A88"/>
    <w:rsid w:val="00163FB9"/>
    <w:rsid w:val="001658FB"/>
    <w:rsid w:val="0016771D"/>
    <w:rsid w:val="00170F88"/>
    <w:rsid w:val="001723FA"/>
    <w:rsid w:val="0017402F"/>
    <w:rsid w:val="00177128"/>
    <w:rsid w:val="00180732"/>
    <w:rsid w:val="001810A8"/>
    <w:rsid w:val="00183ECE"/>
    <w:rsid w:val="001847D6"/>
    <w:rsid w:val="001927DB"/>
    <w:rsid w:val="001A042C"/>
    <w:rsid w:val="001A5FA4"/>
    <w:rsid w:val="001B15AE"/>
    <w:rsid w:val="001B4717"/>
    <w:rsid w:val="001B6C64"/>
    <w:rsid w:val="001B766E"/>
    <w:rsid w:val="001B7808"/>
    <w:rsid w:val="001C156E"/>
    <w:rsid w:val="001C27F7"/>
    <w:rsid w:val="001C2CA3"/>
    <w:rsid w:val="001C2F6A"/>
    <w:rsid w:val="001C57A2"/>
    <w:rsid w:val="001C6CBE"/>
    <w:rsid w:val="001C73B5"/>
    <w:rsid w:val="001D0614"/>
    <w:rsid w:val="001D445C"/>
    <w:rsid w:val="001D4E65"/>
    <w:rsid w:val="001D5AC3"/>
    <w:rsid w:val="001D5D86"/>
    <w:rsid w:val="001D63B1"/>
    <w:rsid w:val="001E06FE"/>
    <w:rsid w:val="001E0F29"/>
    <w:rsid w:val="001E6206"/>
    <w:rsid w:val="001E682D"/>
    <w:rsid w:val="001E6DF1"/>
    <w:rsid w:val="001E778F"/>
    <w:rsid w:val="001F09F3"/>
    <w:rsid w:val="001F0FC9"/>
    <w:rsid w:val="001F24C0"/>
    <w:rsid w:val="001F2936"/>
    <w:rsid w:val="001F2E23"/>
    <w:rsid w:val="001F3C85"/>
    <w:rsid w:val="001F4020"/>
    <w:rsid w:val="001F4D64"/>
    <w:rsid w:val="001F528B"/>
    <w:rsid w:val="001F5AFA"/>
    <w:rsid w:val="001F7190"/>
    <w:rsid w:val="001F7716"/>
    <w:rsid w:val="0020013D"/>
    <w:rsid w:val="00200472"/>
    <w:rsid w:val="00201878"/>
    <w:rsid w:val="00201E08"/>
    <w:rsid w:val="00203D60"/>
    <w:rsid w:val="00204099"/>
    <w:rsid w:val="00204665"/>
    <w:rsid w:val="00204688"/>
    <w:rsid w:val="00206282"/>
    <w:rsid w:val="00206A3C"/>
    <w:rsid w:val="00210B9D"/>
    <w:rsid w:val="00210DCA"/>
    <w:rsid w:val="00210F5A"/>
    <w:rsid w:val="002114C1"/>
    <w:rsid w:val="00211A9F"/>
    <w:rsid w:val="002129AC"/>
    <w:rsid w:val="00212D96"/>
    <w:rsid w:val="00212E35"/>
    <w:rsid w:val="002154B1"/>
    <w:rsid w:val="00216317"/>
    <w:rsid w:val="00217706"/>
    <w:rsid w:val="0021792D"/>
    <w:rsid w:val="00220C70"/>
    <w:rsid w:val="0022232A"/>
    <w:rsid w:val="00223223"/>
    <w:rsid w:val="00223912"/>
    <w:rsid w:val="002243F9"/>
    <w:rsid w:val="00225F94"/>
    <w:rsid w:val="0022656C"/>
    <w:rsid w:val="00234152"/>
    <w:rsid w:val="00234D4E"/>
    <w:rsid w:val="00236584"/>
    <w:rsid w:val="0023734B"/>
    <w:rsid w:val="00240BB9"/>
    <w:rsid w:val="00241F2D"/>
    <w:rsid w:val="0024278B"/>
    <w:rsid w:val="00244C36"/>
    <w:rsid w:val="002450D0"/>
    <w:rsid w:val="0024528C"/>
    <w:rsid w:val="00245475"/>
    <w:rsid w:val="00245550"/>
    <w:rsid w:val="00247085"/>
    <w:rsid w:val="002477CD"/>
    <w:rsid w:val="00247D87"/>
    <w:rsid w:val="0025038A"/>
    <w:rsid w:val="0025056E"/>
    <w:rsid w:val="00250B9A"/>
    <w:rsid w:val="00253978"/>
    <w:rsid w:val="00253DF5"/>
    <w:rsid w:val="002564BE"/>
    <w:rsid w:val="00256FBB"/>
    <w:rsid w:val="002630EC"/>
    <w:rsid w:val="00265200"/>
    <w:rsid w:val="00266954"/>
    <w:rsid w:val="0026719A"/>
    <w:rsid w:val="00267A26"/>
    <w:rsid w:val="00267EB1"/>
    <w:rsid w:val="00272EBF"/>
    <w:rsid w:val="00275637"/>
    <w:rsid w:val="002827A3"/>
    <w:rsid w:val="00282EF8"/>
    <w:rsid w:val="00283248"/>
    <w:rsid w:val="00283EB4"/>
    <w:rsid w:val="002845B1"/>
    <w:rsid w:val="00286605"/>
    <w:rsid w:val="0028723D"/>
    <w:rsid w:val="002907FF"/>
    <w:rsid w:val="00290B3B"/>
    <w:rsid w:val="00290F70"/>
    <w:rsid w:val="0029145B"/>
    <w:rsid w:val="00292056"/>
    <w:rsid w:val="002941D3"/>
    <w:rsid w:val="00295263"/>
    <w:rsid w:val="0029556F"/>
    <w:rsid w:val="002966A3"/>
    <w:rsid w:val="002A14E3"/>
    <w:rsid w:val="002A259A"/>
    <w:rsid w:val="002A45A1"/>
    <w:rsid w:val="002A562E"/>
    <w:rsid w:val="002B12B5"/>
    <w:rsid w:val="002B41EF"/>
    <w:rsid w:val="002B45E1"/>
    <w:rsid w:val="002B4694"/>
    <w:rsid w:val="002C090A"/>
    <w:rsid w:val="002C1B72"/>
    <w:rsid w:val="002C1C40"/>
    <w:rsid w:val="002C2425"/>
    <w:rsid w:val="002C3D81"/>
    <w:rsid w:val="002C4511"/>
    <w:rsid w:val="002C6190"/>
    <w:rsid w:val="002C692F"/>
    <w:rsid w:val="002D5C23"/>
    <w:rsid w:val="002D5D50"/>
    <w:rsid w:val="002D6800"/>
    <w:rsid w:val="002E22E9"/>
    <w:rsid w:val="002E4294"/>
    <w:rsid w:val="002E612E"/>
    <w:rsid w:val="002E6929"/>
    <w:rsid w:val="002E7077"/>
    <w:rsid w:val="002F0322"/>
    <w:rsid w:val="002F0FD9"/>
    <w:rsid w:val="002F70BF"/>
    <w:rsid w:val="00300382"/>
    <w:rsid w:val="00300603"/>
    <w:rsid w:val="0030172A"/>
    <w:rsid w:val="00302C59"/>
    <w:rsid w:val="003042F5"/>
    <w:rsid w:val="00304E1C"/>
    <w:rsid w:val="0030614B"/>
    <w:rsid w:val="00306DB7"/>
    <w:rsid w:val="00312121"/>
    <w:rsid w:val="003129FA"/>
    <w:rsid w:val="00312F3A"/>
    <w:rsid w:val="00316B16"/>
    <w:rsid w:val="00316D94"/>
    <w:rsid w:val="0031739B"/>
    <w:rsid w:val="003213B6"/>
    <w:rsid w:val="00323D0E"/>
    <w:rsid w:val="00324AE0"/>
    <w:rsid w:val="00327D73"/>
    <w:rsid w:val="0033290A"/>
    <w:rsid w:val="003418A2"/>
    <w:rsid w:val="00341FB9"/>
    <w:rsid w:val="0034215C"/>
    <w:rsid w:val="0034322C"/>
    <w:rsid w:val="003442EE"/>
    <w:rsid w:val="00345113"/>
    <w:rsid w:val="00345673"/>
    <w:rsid w:val="003460CC"/>
    <w:rsid w:val="003460D5"/>
    <w:rsid w:val="003479E3"/>
    <w:rsid w:val="00347D0B"/>
    <w:rsid w:val="00351BF5"/>
    <w:rsid w:val="00352D04"/>
    <w:rsid w:val="00352D83"/>
    <w:rsid w:val="00352E3C"/>
    <w:rsid w:val="00353F42"/>
    <w:rsid w:val="003540E8"/>
    <w:rsid w:val="00354B3D"/>
    <w:rsid w:val="00356533"/>
    <w:rsid w:val="00356C4A"/>
    <w:rsid w:val="003616D5"/>
    <w:rsid w:val="0036309F"/>
    <w:rsid w:val="003637E1"/>
    <w:rsid w:val="0036558F"/>
    <w:rsid w:val="00366E4B"/>
    <w:rsid w:val="00371D62"/>
    <w:rsid w:val="00374273"/>
    <w:rsid w:val="00375E56"/>
    <w:rsid w:val="003763BD"/>
    <w:rsid w:val="00376899"/>
    <w:rsid w:val="00376C62"/>
    <w:rsid w:val="00376F9D"/>
    <w:rsid w:val="0037778C"/>
    <w:rsid w:val="00380FEC"/>
    <w:rsid w:val="00382BD1"/>
    <w:rsid w:val="003865CE"/>
    <w:rsid w:val="00386A23"/>
    <w:rsid w:val="00392D30"/>
    <w:rsid w:val="00393014"/>
    <w:rsid w:val="00396ABF"/>
    <w:rsid w:val="003A379C"/>
    <w:rsid w:val="003A4C41"/>
    <w:rsid w:val="003A528D"/>
    <w:rsid w:val="003B2260"/>
    <w:rsid w:val="003B27B2"/>
    <w:rsid w:val="003B3129"/>
    <w:rsid w:val="003B427E"/>
    <w:rsid w:val="003B554D"/>
    <w:rsid w:val="003B5606"/>
    <w:rsid w:val="003C038E"/>
    <w:rsid w:val="003C2160"/>
    <w:rsid w:val="003C26DB"/>
    <w:rsid w:val="003C33AE"/>
    <w:rsid w:val="003C770E"/>
    <w:rsid w:val="003D0666"/>
    <w:rsid w:val="003D0BB2"/>
    <w:rsid w:val="003D38E7"/>
    <w:rsid w:val="003D7BD6"/>
    <w:rsid w:val="003E075B"/>
    <w:rsid w:val="003E1639"/>
    <w:rsid w:val="003E44BD"/>
    <w:rsid w:val="003E5250"/>
    <w:rsid w:val="003E53A8"/>
    <w:rsid w:val="003E6C8E"/>
    <w:rsid w:val="003E7200"/>
    <w:rsid w:val="003F0086"/>
    <w:rsid w:val="003F0D8C"/>
    <w:rsid w:val="003F22B3"/>
    <w:rsid w:val="003F3705"/>
    <w:rsid w:val="003F37A8"/>
    <w:rsid w:val="003F4106"/>
    <w:rsid w:val="004010E6"/>
    <w:rsid w:val="004019C5"/>
    <w:rsid w:val="00401E80"/>
    <w:rsid w:val="00403CFA"/>
    <w:rsid w:val="004073B2"/>
    <w:rsid w:val="00410014"/>
    <w:rsid w:val="00410C3B"/>
    <w:rsid w:val="00414443"/>
    <w:rsid w:val="004149F5"/>
    <w:rsid w:val="00414F82"/>
    <w:rsid w:val="00415019"/>
    <w:rsid w:val="004177BC"/>
    <w:rsid w:val="004225B9"/>
    <w:rsid w:val="00423749"/>
    <w:rsid w:val="0042387F"/>
    <w:rsid w:val="00423CB0"/>
    <w:rsid w:val="00427343"/>
    <w:rsid w:val="00427959"/>
    <w:rsid w:val="004314C1"/>
    <w:rsid w:val="00433D6F"/>
    <w:rsid w:val="004376C7"/>
    <w:rsid w:val="004403B9"/>
    <w:rsid w:val="004416AB"/>
    <w:rsid w:val="00441A95"/>
    <w:rsid w:val="0044249A"/>
    <w:rsid w:val="00442E19"/>
    <w:rsid w:val="00444D06"/>
    <w:rsid w:val="004511D9"/>
    <w:rsid w:val="0045141C"/>
    <w:rsid w:val="004533C9"/>
    <w:rsid w:val="00453BD4"/>
    <w:rsid w:val="00453F64"/>
    <w:rsid w:val="004542F6"/>
    <w:rsid w:val="0045493A"/>
    <w:rsid w:val="00455EEB"/>
    <w:rsid w:val="004560B9"/>
    <w:rsid w:val="00457BD7"/>
    <w:rsid w:val="0046096A"/>
    <w:rsid w:val="00460C14"/>
    <w:rsid w:val="00461406"/>
    <w:rsid w:val="004659E5"/>
    <w:rsid w:val="00467CEE"/>
    <w:rsid w:val="00472184"/>
    <w:rsid w:val="00474F75"/>
    <w:rsid w:val="0047521F"/>
    <w:rsid w:val="00477E4C"/>
    <w:rsid w:val="004812F6"/>
    <w:rsid w:val="00483D81"/>
    <w:rsid w:val="004842A1"/>
    <w:rsid w:val="0048482E"/>
    <w:rsid w:val="0049050C"/>
    <w:rsid w:val="004908A4"/>
    <w:rsid w:val="00493B11"/>
    <w:rsid w:val="004943C4"/>
    <w:rsid w:val="004952C4"/>
    <w:rsid w:val="00495AD6"/>
    <w:rsid w:val="0049747F"/>
    <w:rsid w:val="004A05EC"/>
    <w:rsid w:val="004A0A43"/>
    <w:rsid w:val="004A100E"/>
    <w:rsid w:val="004A1181"/>
    <w:rsid w:val="004A1A6B"/>
    <w:rsid w:val="004A290F"/>
    <w:rsid w:val="004A2B10"/>
    <w:rsid w:val="004A39B0"/>
    <w:rsid w:val="004A3EE4"/>
    <w:rsid w:val="004A4A95"/>
    <w:rsid w:val="004B0985"/>
    <w:rsid w:val="004B2F97"/>
    <w:rsid w:val="004B3AAE"/>
    <w:rsid w:val="004B4764"/>
    <w:rsid w:val="004B5B81"/>
    <w:rsid w:val="004B79F9"/>
    <w:rsid w:val="004C1E4D"/>
    <w:rsid w:val="004C6584"/>
    <w:rsid w:val="004C7FD3"/>
    <w:rsid w:val="004D03D3"/>
    <w:rsid w:val="004D1125"/>
    <w:rsid w:val="004D1446"/>
    <w:rsid w:val="004D27E8"/>
    <w:rsid w:val="004D3AAD"/>
    <w:rsid w:val="004D440E"/>
    <w:rsid w:val="004D7975"/>
    <w:rsid w:val="004D7C1A"/>
    <w:rsid w:val="004D7FC6"/>
    <w:rsid w:val="004E0EA3"/>
    <w:rsid w:val="004E5802"/>
    <w:rsid w:val="004E6B2D"/>
    <w:rsid w:val="004F107C"/>
    <w:rsid w:val="004F563E"/>
    <w:rsid w:val="00503004"/>
    <w:rsid w:val="005031F8"/>
    <w:rsid w:val="00503599"/>
    <w:rsid w:val="0050422A"/>
    <w:rsid w:val="005065C2"/>
    <w:rsid w:val="005071B7"/>
    <w:rsid w:val="00511801"/>
    <w:rsid w:val="0051272C"/>
    <w:rsid w:val="005138D1"/>
    <w:rsid w:val="005145B7"/>
    <w:rsid w:val="00515952"/>
    <w:rsid w:val="00520A43"/>
    <w:rsid w:val="00524AF7"/>
    <w:rsid w:val="0052515C"/>
    <w:rsid w:val="00527285"/>
    <w:rsid w:val="005306A9"/>
    <w:rsid w:val="005308F9"/>
    <w:rsid w:val="005351E9"/>
    <w:rsid w:val="005379CF"/>
    <w:rsid w:val="00540A3A"/>
    <w:rsid w:val="00543C41"/>
    <w:rsid w:val="00543CA0"/>
    <w:rsid w:val="005441A6"/>
    <w:rsid w:val="00544BD7"/>
    <w:rsid w:val="00545907"/>
    <w:rsid w:val="00551573"/>
    <w:rsid w:val="00553F09"/>
    <w:rsid w:val="00556929"/>
    <w:rsid w:val="00556F0A"/>
    <w:rsid w:val="005632EA"/>
    <w:rsid w:val="00563B35"/>
    <w:rsid w:val="005657E6"/>
    <w:rsid w:val="00565C10"/>
    <w:rsid w:val="00566B72"/>
    <w:rsid w:val="00572A90"/>
    <w:rsid w:val="00573034"/>
    <w:rsid w:val="00573B70"/>
    <w:rsid w:val="00574C93"/>
    <w:rsid w:val="005752BF"/>
    <w:rsid w:val="00575EFA"/>
    <w:rsid w:val="00580552"/>
    <w:rsid w:val="00583C4C"/>
    <w:rsid w:val="00586829"/>
    <w:rsid w:val="0059068D"/>
    <w:rsid w:val="00592267"/>
    <w:rsid w:val="00593ED5"/>
    <w:rsid w:val="00593F34"/>
    <w:rsid w:val="005A0C1F"/>
    <w:rsid w:val="005A42E3"/>
    <w:rsid w:val="005A7798"/>
    <w:rsid w:val="005B482B"/>
    <w:rsid w:val="005B57A4"/>
    <w:rsid w:val="005B5920"/>
    <w:rsid w:val="005B5A84"/>
    <w:rsid w:val="005B6B2F"/>
    <w:rsid w:val="005B6F29"/>
    <w:rsid w:val="005C0B88"/>
    <w:rsid w:val="005C1478"/>
    <w:rsid w:val="005C2B4D"/>
    <w:rsid w:val="005C6BBB"/>
    <w:rsid w:val="005D2ABA"/>
    <w:rsid w:val="005D402C"/>
    <w:rsid w:val="005D4BCA"/>
    <w:rsid w:val="005D549B"/>
    <w:rsid w:val="005E2DCC"/>
    <w:rsid w:val="005E3BE7"/>
    <w:rsid w:val="005E6476"/>
    <w:rsid w:val="005E70F5"/>
    <w:rsid w:val="005F325F"/>
    <w:rsid w:val="005F5E11"/>
    <w:rsid w:val="005F778E"/>
    <w:rsid w:val="0060214B"/>
    <w:rsid w:val="006047ED"/>
    <w:rsid w:val="006062E7"/>
    <w:rsid w:val="00606601"/>
    <w:rsid w:val="00606E1B"/>
    <w:rsid w:val="00607287"/>
    <w:rsid w:val="006075B3"/>
    <w:rsid w:val="00607E31"/>
    <w:rsid w:val="00620F86"/>
    <w:rsid w:val="006213C0"/>
    <w:rsid w:val="0062585B"/>
    <w:rsid w:val="00625D4D"/>
    <w:rsid w:val="006310A3"/>
    <w:rsid w:val="00632241"/>
    <w:rsid w:val="00632634"/>
    <w:rsid w:val="006350A2"/>
    <w:rsid w:val="00635221"/>
    <w:rsid w:val="00637395"/>
    <w:rsid w:val="00640A9B"/>
    <w:rsid w:val="00641417"/>
    <w:rsid w:val="00644ED9"/>
    <w:rsid w:val="006515AA"/>
    <w:rsid w:val="00653BED"/>
    <w:rsid w:val="00654321"/>
    <w:rsid w:val="00654326"/>
    <w:rsid w:val="00656498"/>
    <w:rsid w:val="006577BE"/>
    <w:rsid w:val="00657FBF"/>
    <w:rsid w:val="00661012"/>
    <w:rsid w:val="006624CC"/>
    <w:rsid w:val="00662ED0"/>
    <w:rsid w:val="0066368A"/>
    <w:rsid w:val="00664575"/>
    <w:rsid w:val="00667148"/>
    <w:rsid w:val="00672579"/>
    <w:rsid w:val="00672870"/>
    <w:rsid w:val="006809E4"/>
    <w:rsid w:val="00682336"/>
    <w:rsid w:val="00682A77"/>
    <w:rsid w:val="0068314D"/>
    <w:rsid w:val="0068317C"/>
    <w:rsid w:val="006872B1"/>
    <w:rsid w:val="00695EE9"/>
    <w:rsid w:val="00697EF2"/>
    <w:rsid w:val="006A072B"/>
    <w:rsid w:val="006A13AB"/>
    <w:rsid w:val="006A1F93"/>
    <w:rsid w:val="006A2D8B"/>
    <w:rsid w:val="006A3927"/>
    <w:rsid w:val="006A39FF"/>
    <w:rsid w:val="006B06B8"/>
    <w:rsid w:val="006B0DA9"/>
    <w:rsid w:val="006B1225"/>
    <w:rsid w:val="006B1B76"/>
    <w:rsid w:val="006B262A"/>
    <w:rsid w:val="006B32FE"/>
    <w:rsid w:val="006B4A8D"/>
    <w:rsid w:val="006B64A2"/>
    <w:rsid w:val="006B78B4"/>
    <w:rsid w:val="006C069B"/>
    <w:rsid w:val="006C08B9"/>
    <w:rsid w:val="006C0B52"/>
    <w:rsid w:val="006C53B8"/>
    <w:rsid w:val="006C5E01"/>
    <w:rsid w:val="006C73DA"/>
    <w:rsid w:val="006C79BC"/>
    <w:rsid w:val="006D0004"/>
    <w:rsid w:val="006D159B"/>
    <w:rsid w:val="006D1927"/>
    <w:rsid w:val="006D4AB1"/>
    <w:rsid w:val="006D66E3"/>
    <w:rsid w:val="006E098B"/>
    <w:rsid w:val="006E169B"/>
    <w:rsid w:val="006E3AA7"/>
    <w:rsid w:val="006E3DC5"/>
    <w:rsid w:val="006E4497"/>
    <w:rsid w:val="006E6AEA"/>
    <w:rsid w:val="006F5F91"/>
    <w:rsid w:val="006F660E"/>
    <w:rsid w:val="006F6F7F"/>
    <w:rsid w:val="006F775F"/>
    <w:rsid w:val="00702176"/>
    <w:rsid w:val="00702743"/>
    <w:rsid w:val="00702C98"/>
    <w:rsid w:val="007037D1"/>
    <w:rsid w:val="007046C9"/>
    <w:rsid w:val="0070658B"/>
    <w:rsid w:val="0070753F"/>
    <w:rsid w:val="007111A0"/>
    <w:rsid w:val="007128C6"/>
    <w:rsid w:val="00714580"/>
    <w:rsid w:val="00714CC2"/>
    <w:rsid w:val="00727EEC"/>
    <w:rsid w:val="00733427"/>
    <w:rsid w:val="00733BF0"/>
    <w:rsid w:val="00735097"/>
    <w:rsid w:val="007355A2"/>
    <w:rsid w:val="00736735"/>
    <w:rsid w:val="0073798D"/>
    <w:rsid w:val="00737DCA"/>
    <w:rsid w:val="0074026D"/>
    <w:rsid w:val="0074055A"/>
    <w:rsid w:val="00740664"/>
    <w:rsid w:val="00740955"/>
    <w:rsid w:val="0074278B"/>
    <w:rsid w:val="00742BCE"/>
    <w:rsid w:val="00742F02"/>
    <w:rsid w:val="00743800"/>
    <w:rsid w:val="007503F0"/>
    <w:rsid w:val="007519D7"/>
    <w:rsid w:val="0075371A"/>
    <w:rsid w:val="00753788"/>
    <w:rsid w:val="00755E50"/>
    <w:rsid w:val="007564EF"/>
    <w:rsid w:val="00756746"/>
    <w:rsid w:val="007567A8"/>
    <w:rsid w:val="00761C88"/>
    <w:rsid w:val="00762DC2"/>
    <w:rsid w:val="007673CD"/>
    <w:rsid w:val="007674F4"/>
    <w:rsid w:val="0077099C"/>
    <w:rsid w:val="0077375F"/>
    <w:rsid w:val="00773879"/>
    <w:rsid w:val="00774570"/>
    <w:rsid w:val="00774CCA"/>
    <w:rsid w:val="00774DAE"/>
    <w:rsid w:val="00777016"/>
    <w:rsid w:val="00780798"/>
    <w:rsid w:val="007826BF"/>
    <w:rsid w:val="00782E19"/>
    <w:rsid w:val="007840B0"/>
    <w:rsid w:val="0078525F"/>
    <w:rsid w:val="00786334"/>
    <w:rsid w:val="00786DAF"/>
    <w:rsid w:val="007903D6"/>
    <w:rsid w:val="00790828"/>
    <w:rsid w:val="00790FAF"/>
    <w:rsid w:val="007910D9"/>
    <w:rsid w:val="00796D05"/>
    <w:rsid w:val="00796E8E"/>
    <w:rsid w:val="00796F41"/>
    <w:rsid w:val="007A0A27"/>
    <w:rsid w:val="007A1507"/>
    <w:rsid w:val="007A175B"/>
    <w:rsid w:val="007A7BBD"/>
    <w:rsid w:val="007A7D3D"/>
    <w:rsid w:val="007B0C8A"/>
    <w:rsid w:val="007B1AB5"/>
    <w:rsid w:val="007B2E72"/>
    <w:rsid w:val="007B2F4A"/>
    <w:rsid w:val="007B470F"/>
    <w:rsid w:val="007B4AD4"/>
    <w:rsid w:val="007B6E03"/>
    <w:rsid w:val="007C09BD"/>
    <w:rsid w:val="007C1D94"/>
    <w:rsid w:val="007C38E4"/>
    <w:rsid w:val="007C65D1"/>
    <w:rsid w:val="007C6944"/>
    <w:rsid w:val="007D0812"/>
    <w:rsid w:val="007D16C0"/>
    <w:rsid w:val="007E1BF3"/>
    <w:rsid w:val="007E3F89"/>
    <w:rsid w:val="007F1B02"/>
    <w:rsid w:val="007F41CF"/>
    <w:rsid w:val="007F4B63"/>
    <w:rsid w:val="007F5185"/>
    <w:rsid w:val="007F522E"/>
    <w:rsid w:val="007F678D"/>
    <w:rsid w:val="00803B6F"/>
    <w:rsid w:val="00804ED8"/>
    <w:rsid w:val="008058C2"/>
    <w:rsid w:val="00806B39"/>
    <w:rsid w:val="00810A72"/>
    <w:rsid w:val="008138EB"/>
    <w:rsid w:val="00814CFD"/>
    <w:rsid w:val="008154FB"/>
    <w:rsid w:val="00815A36"/>
    <w:rsid w:val="00816D34"/>
    <w:rsid w:val="008176C1"/>
    <w:rsid w:val="00817DE9"/>
    <w:rsid w:val="00821292"/>
    <w:rsid w:val="00821CB6"/>
    <w:rsid w:val="00823223"/>
    <w:rsid w:val="00823A2E"/>
    <w:rsid w:val="00827AD6"/>
    <w:rsid w:val="00832434"/>
    <w:rsid w:val="00833166"/>
    <w:rsid w:val="00833D13"/>
    <w:rsid w:val="0083478E"/>
    <w:rsid w:val="008406B4"/>
    <w:rsid w:val="00842E7C"/>
    <w:rsid w:val="00845708"/>
    <w:rsid w:val="00845B05"/>
    <w:rsid w:val="00847A75"/>
    <w:rsid w:val="00850E38"/>
    <w:rsid w:val="008536B5"/>
    <w:rsid w:val="00857E16"/>
    <w:rsid w:val="00860C1A"/>
    <w:rsid w:val="0086139F"/>
    <w:rsid w:val="0086438F"/>
    <w:rsid w:val="0086452B"/>
    <w:rsid w:val="00865D65"/>
    <w:rsid w:val="00867359"/>
    <w:rsid w:val="00874DE6"/>
    <w:rsid w:val="0087557A"/>
    <w:rsid w:val="00875669"/>
    <w:rsid w:val="00875C63"/>
    <w:rsid w:val="00875D0F"/>
    <w:rsid w:val="00876D4A"/>
    <w:rsid w:val="008778B3"/>
    <w:rsid w:val="00877CA8"/>
    <w:rsid w:val="00880044"/>
    <w:rsid w:val="00880D7B"/>
    <w:rsid w:val="00880F24"/>
    <w:rsid w:val="008836EC"/>
    <w:rsid w:val="00885552"/>
    <w:rsid w:val="00886034"/>
    <w:rsid w:val="00886AA2"/>
    <w:rsid w:val="008870D6"/>
    <w:rsid w:val="00887C3D"/>
    <w:rsid w:val="00890B54"/>
    <w:rsid w:val="0089237A"/>
    <w:rsid w:val="00892809"/>
    <w:rsid w:val="008941BC"/>
    <w:rsid w:val="00895357"/>
    <w:rsid w:val="0089551B"/>
    <w:rsid w:val="008A3590"/>
    <w:rsid w:val="008A4452"/>
    <w:rsid w:val="008B111C"/>
    <w:rsid w:val="008B30FA"/>
    <w:rsid w:val="008B3DE2"/>
    <w:rsid w:val="008B46E0"/>
    <w:rsid w:val="008B7963"/>
    <w:rsid w:val="008C2400"/>
    <w:rsid w:val="008C29EA"/>
    <w:rsid w:val="008C4C64"/>
    <w:rsid w:val="008C75D8"/>
    <w:rsid w:val="008D37C9"/>
    <w:rsid w:val="008D4CB9"/>
    <w:rsid w:val="008D65E9"/>
    <w:rsid w:val="008D78C7"/>
    <w:rsid w:val="008D79E3"/>
    <w:rsid w:val="008D7A37"/>
    <w:rsid w:val="008E146E"/>
    <w:rsid w:val="008E4700"/>
    <w:rsid w:val="008E49DF"/>
    <w:rsid w:val="008E4D02"/>
    <w:rsid w:val="008E5D71"/>
    <w:rsid w:val="008F14B9"/>
    <w:rsid w:val="008F4B2B"/>
    <w:rsid w:val="008F55B9"/>
    <w:rsid w:val="008F5BE2"/>
    <w:rsid w:val="00900220"/>
    <w:rsid w:val="009070F8"/>
    <w:rsid w:val="009077FA"/>
    <w:rsid w:val="009106CD"/>
    <w:rsid w:val="009108B2"/>
    <w:rsid w:val="0091138C"/>
    <w:rsid w:val="00913B48"/>
    <w:rsid w:val="009143B6"/>
    <w:rsid w:val="0091442C"/>
    <w:rsid w:val="00914F7C"/>
    <w:rsid w:val="0091510A"/>
    <w:rsid w:val="00917CE6"/>
    <w:rsid w:val="00920854"/>
    <w:rsid w:val="0092219B"/>
    <w:rsid w:val="0092319C"/>
    <w:rsid w:val="009249F7"/>
    <w:rsid w:val="00925B80"/>
    <w:rsid w:val="0092638C"/>
    <w:rsid w:val="00926A69"/>
    <w:rsid w:val="009301B7"/>
    <w:rsid w:val="00930E1C"/>
    <w:rsid w:val="00931DDB"/>
    <w:rsid w:val="0093308E"/>
    <w:rsid w:val="009343FE"/>
    <w:rsid w:val="00940091"/>
    <w:rsid w:val="00941B1D"/>
    <w:rsid w:val="00942231"/>
    <w:rsid w:val="00942896"/>
    <w:rsid w:val="00943D32"/>
    <w:rsid w:val="00945570"/>
    <w:rsid w:val="009526DF"/>
    <w:rsid w:val="0095470F"/>
    <w:rsid w:val="009549DD"/>
    <w:rsid w:val="00955565"/>
    <w:rsid w:val="00957F99"/>
    <w:rsid w:val="00960121"/>
    <w:rsid w:val="00960156"/>
    <w:rsid w:val="009614C9"/>
    <w:rsid w:val="009623D0"/>
    <w:rsid w:val="00962672"/>
    <w:rsid w:val="00962C2A"/>
    <w:rsid w:val="009642BC"/>
    <w:rsid w:val="0096640A"/>
    <w:rsid w:val="00972461"/>
    <w:rsid w:val="009756AE"/>
    <w:rsid w:val="009802D4"/>
    <w:rsid w:val="00980AC0"/>
    <w:rsid w:val="00982F7D"/>
    <w:rsid w:val="00983631"/>
    <w:rsid w:val="00984336"/>
    <w:rsid w:val="00991FA0"/>
    <w:rsid w:val="009932C9"/>
    <w:rsid w:val="00996DAF"/>
    <w:rsid w:val="009A3101"/>
    <w:rsid w:val="009A3588"/>
    <w:rsid w:val="009A6177"/>
    <w:rsid w:val="009A7D57"/>
    <w:rsid w:val="009B0236"/>
    <w:rsid w:val="009B0490"/>
    <w:rsid w:val="009B08EB"/>
    <w:rsid w:val="009B0CC1"/>
    <w:rsid w:val="009B17D0"/>
    <w:rsid w:val="009B1DCA"/>
    <w:rsid w:val="009B2876"/>
    <w:rsid w:val="009B5B40"/>
    <w:rsid w:val="009C18DE"/>
    <w:rsid w:val="009C6550"/>
    <w:rsid w:val="009C7078"/>
    <w:rsid w:val="009D1AFE"/>
    <w:rsid w:val="009D3152"/>
    <w:rsid w:val="009D3477"/>
    <w:rsid w:val="009D4BCB"/>
    <w:rsid w:val="009D4DCC"/>
    <w:rsid w:val="009D61F3"/>
    <w:rsid w:val="009D7C16"/>
    <w:rsid w:val="009E0B62"/>
    <w:rsid w:val="009E408C"/>
    <w:rsid w:val="009E417A"/>
    <w:rsid w:val="009E5CE4"/>
    <w:rsid w:val="009E655B"/>
    <w:rsid w:val="009F1839"/>
    <w:rsid w:val="009F1C8A"/>
    <w:rsid w:val="009F1D0B"/>
    <w:rsid w:val="009F4242"/>
    <w:rsid w:val="009F65A1"/>
    <w:rsid w:val="009F6D10"/>
    <w:rsid w:val="00A00BB2"/>
    <w:rsid w:val="00A0643C"/>
    <w:rsid w:val="00A12437"/>
    <w:rsid w:val="00A136BA"/>
    <w:rsid w:val="00A14DAD"/>
    <w:rsid w:val="00A167CE"/>
    <w:rsid w:val="00A2115D"/>
    <w:rsid w:val="00A215E2"/>
    <w:rsid w:val="00A221EC"/>
    <w:rsid w:val="00A2233D"/>
    <w:rsid w:val="00A234D6"/>
    <w:rsid w:val="00A26336"/>
    <w:rsid w:val="00A277A6"/>
    <w:rsid w:val="00A31E31"/>
    <w:rsid w:val="00A32A5B"/>
    <w:rsid w:val="00A3743E"/>
    <w:rsid w:val="00A37661"/>
    <w:rsid w:val="00A37DE2"/>
    <w:rsid w:val="00A45176"/>
    <w:rsid w:val="00A46AAF"/>
    <w:rsid w:val="00A4758A"/>
    <w:rsid w:val="00A50264"/>
    <w:rsid w:val="00A510B4"/>
    <w:rsid w:val="00A51975"/>
    <w:rsid w:val="00A537AB"/>
    <w:rsid w:val="00A54F01"/>
    <w:rsid w:val="00A558F7"/>
    <w:rsid w:val="00A561DD"/>
    <w:rsid w:val="00A562FB"/>
    <w:rsid w:val="00A57956"/>
    <w:rsid w:val="00A601D3"/>
    <w:rsid w:val="00A6325C"/>
    <w:rsid w:val="00A6388C"/>
    <w:rsid w:val="00A70BB8"/>
    <w:rsid w:val="00A7429D"/>
    <w:rsid w:val="00A75433"/>
    <w:rsid w:val="00A75F6E"/>
    <w:rsid w:val="00A76D6A"/>
    <w:rsid w:val="00A803D4"/>
    <w:rsid w:val="00A80B85"/>
    <w:rsid w:val="00A82138"/>
    <w:rsid w:val="00A84AD0"/>
    <w:rsid w:val="00A84B44"/>
    <w:rsid w:val="00A84F6E"/>
    <w:rsid w:val="00A85A70"/>
    <w:rsid w:val="00A85D9A"/>
    <w:rsid w:val="00A869CE"/>
    <w:rsid w:val="00A87C18"/>
    <w:rsid w:val="00A91220"/>
    <w:rsid w:val="00A92449"/>
    <w:rsid w:val="00A945B6"/>
    <w:rsid w:val="00A9462C"/>
    <w:rsid w:val="00A95B52"/>
    <w:rsid w:val="00A9608F"/>
    <w:rsid w:val="00AA6687"/>
    <w:rsid w:val="00AA7DDD"/>
    <w:rsid w:val="00AB0365"/>
    <w:rsid w:val="00AB2286"/>
    <w:rsid w:val="00AB300C"/>
    <w:rsid w:val="00AB3561"/>
    <w:rsid w:val="00AB38F9"/>
    <w:rsid w:val="00AB3C12"/>
    <w:rsid w:val="00AB7C78"/>
    <w:rsid w:val="00AC04C6"/>
    <w:rsid w:val="00AC0737"/>
    <w:rsid w:val="00AC115E"/>
    <w:rsid w:val="00AC2C4F"/>
    <w:rsid w:val="00AC39CD"/>
    <w:rsid w:val="00AC3B22"/>
    <w:rsid w:val="00AD2959"/>
    <w:rsid w:val="00AD2DB4"/>
    <w:rsid w:val="00AD2DD4"/>
    <w:rsid w:val="00AD31EB"/>
    <w:rsid w:val="00AD3EB2"/>
    <w:rsid w:val="00AD7944"/>
    <w:rsid w:val="00AE1A17"/>
    <w:rsid w:val="00AE237B"/>
    <w:rsid w:val="00AE6D2F"/>
    <w:rsid w:val="00AE7B1F"/>
    <w:rsid w:val="00AF1BA1"/>
    <w:rsid w:val="00AF2C0C"/>
    <w:rsid w:val="00B01ACF"/>
    <w:rsid w:val="00B04C48"/>
    <w:rsid w:val="00B0657E"/>
    <w:rsid w:val="00B10695"/>
    <w:rsid w:val="00B10897"/>
    <w:rsid w:val="00B13EAC"/>
    <w:rsid w:val="00B14784"/>
    <w:rsid w:val="00B14CD9"/>
    <w:rsid w:val="00B14F6E"/>
    <w:rsid w:val="00B22EB8"/>
    <w:rsid w:val="00B23386"/>
    <w:rsid w:val="00B245A9"/>
    <w:rsid w:val="00B262F8"/>
    <w:rsid w:val="00B30ED4"/>
    <w:rsid w:val="00B4376A"/>
    <w:rsid w:val="00B4377D"/>
    <w:rsid w:val="00B44A06"/>
    <w:rsid w:val="00B46574"/>
    <w:rsid w:val="00B53E96"/>
    <w:rsid w:val="00B57664"/>
    <w:rsid w:val="00B576BB"/>
    <w:rsid w:val="00B60C24"/>
    <w:rsid w:val="00B62981"/>
    <w:rsid w:val="00B64140"/>
    <w:rsid w:val="00B74E15"/>
    <w:rsid w:val="00B75BBB"/>
    <w:rsid w:val="00B77C03"/>
    <w:rsid w:val="00B81D97"/>
    <w:rsid w:val="00B8286B"/>
    <w:rsid w:val="00B83742"/>
    <w:rsid w:val="00B852B2"/>
    <w:rsid w:val="00B85EB5"/>
    <w:rsid w:val="00B85FB9"/>
    <w:rsid w:val="00B917B3"/>
    <w:rsid w:val="00B944BC"/>
    <w:rsid w:val="00BA0D76"/>
    <w:rsid w:val="00BA169B"/>
    <w:rsid w:val="00BA1AD8"/>
    <w:rsid w:val="00BA5A3E"/>
    <w:rsid w:val="00BA7325"/>
    <w:rsid w:val="00BB01C2"/>
    <w:rsid w:val="00BB1B3D"/>
    <w:rsid w:val="00BB26CB"/>
    <w:rsid w:val="00BB3293"/>
    <w:rsid w:val="00BB3D7E"/>
    <w:rsid w:val="00BB78A9"/>
    <w:rsid w:val="00BB7E9E"/>
    <w:rsid w:val="00BC15C0"/>
    <w:rsid w:val="00BC1BCC"/>
    <w:rsid w:val="00BC206F"/>
    <w:rsid w:val="00BC2DAB"/>
    <w:rsid w:val="00BC4648"/>
    <w:rsid w:val="00BC6E7C"/>
    <w:rsid w:val="00BC6EE8"/>
    <w:rsid w:val="00BD1749"/>
    <w:rsid w:val="00BD3963"/>
    <w:rsid w:val="00BD45C9"/>
    <w:rsid w:val="00BE1475"/>
    <w:rsid w:val="00BE1939"/>
    <w:rsid w:val="00BE4990"/>
    <w:rsid w:val="00BE73D5"/>
    <w:rsid w:val="00BE7D9B"/>
    <w:rsid w:val="00BF06D5"/>
    <w:rsid w:val="00BF195D"/>
    <w:rsid w:val="00BF21B2"/>
    <w:rsid w:val="00BF5918"/>
    <w:rsid w:val="00BF6405"/>
    <w:rsid w:val="00C00828"/>
    <w:rsid w:val="00C03190"/>
    <w:rsid w:val="00C040A4"/>
    <w:rsid w:val="00C05BD6"/>
    <w:rsid w:val="00C06422"/>
    <w:rsid w:val="00C076E7"/>
    <w:rsid w:val="00C07C2A"/>
    <w:rsid w:val="00C07F02"/>
    <w:rsid w:val="00C11107"/>
    <w:rsid w:val="00C12E7A"/>
    <w:rsid w:val="00C135D2"/>
    <w:rsid w:val="00C13C71"/>
    <w:rsid w:val="00C1736D"/>
    <w:rsid w:val="00C179E0"/>
    <w:rsid w:val="00C225E9"/>
    <w:rsid w:val="00C30595"/>
    <w:rsid w:val="00C32E36"/>
    <w:rsid w:val="00C34CB6"/>
    <w:rsid w:val="00C4010E"/>
    <w:rsid w:val="00C42226"/>
    <w:rsid w:val="00C503BF"/>
    <w:rsid w:val="00C51471"/>
    <w:rsid w:val="00C5354E"/>
    <w:rsid w:val="00C56BD1"/>
    <w:rsid w:val="00C604E7"/>
    <w:rsid w:val="00C60C6F"/>
    <w:rsid w:val="00C61CBE"/>
    <w:rsid w:val="00C63F13"/>
    <w:rsid w:val="00C70156"/>
    <w:rsid w:val="00C7092C"/>
    <w:rsid w:val="00C714AD"/>
    <w:rsid w:val="00C73CD3"/>
    <w:rsid w:val="00C767B5"/>
    <w:rsid w:val="00C82F6A"/>
    <w:rsid w:val="00C853C6"/>
    <w:rsid w:val="00C86C5A"/>
    <w:rsid w:val="00C92154"/>
    <w:rsid w:val="00C92986"/>
    <w:rsid w:val="00C9501C"/>
    <w:rsid w:val="00CA0CF3"/>
    <w:rsid w:val="00CA191E"/>
    <w:rsid w:val="00CA290D"/>
    <w:rsid w:val="00CA309C"/>
    <w:rsid w:val="00CA5336"/>
    <w:rsid w:val="00CB1D11"/>
    <w:rsid w:val="00CB23FF"/>
    <w:rsid w:val="00CB4227"/>
    <w:rsid w:val="00CB51D6"/>
    <w:rsid w:val="00CB630B"/>
    <w:rsid w:val="00CB792E"/>
    <w:rsid w:val="00CC03A9"/>
    <w:rsid w:val="00CC1F2A"/>
    <w:rsid w:val="00CC1F3D"/>
    <w:rsid w:val="00CC33D3"/>
    <w:rsid w:val="00CC3D12"/>
    <w:rsid w:val="00CC527D"/>
    <w:rsid w:val="00CC75DE"/>
    <w:rsid w:val="00CD0112"/>
    <w:rsid w:val="00CD0FB2"/>
    <w:rsid w:val="00CD1414"/>
    <w:rsid w:val="00CD1FB3"/>
    <w:rsid w:val="00CD3A87"/>
    <w:rsid w:val="00CD4150"/>
    <w:rsid w:val="00CD60CA"/>
    <w:rsid w:val="00CE2A07"/>
    <w:rsid w:val="00CE2C18"/>
    <w:rsid w:val="00CF14FA"/>
    <w:rsid w:val="00D004A7"/>
    <w:rsid w:val="00D07238"/>
    <w:rsid w:val="00D074DE"/>
    <w:rsid w:val="00D1007D"/>
    <w:rsid w:val="00D13899"/>
    <w:rsid w:val="00D138B3"/>
    <w:rsid w:val="00D13F8F"/>
    <w:rsid w:val="00D17722"/>
    <w:rsid w:val="00D26D5F"/>
    <w:rsid w:val="00D31A79"/>
    <w:rsid w:val="00D3236C"/>
    <w:rsid w:val="00D32ECA"/>
    <w:rsid w:val="00D33B55"/>
    <w:rsid w:val="00D354B6"/>
    <w:rsid w:val="00D41B24"/>
    <w:rsid w:val="00D430CF"/>
    <w:rsid w:val="00D53ECC"/>
    <w:rsid w:val="00D54D64"/>
    <w:rsid w:val="00D57C54"/>
    <w:rsid w:val="00D6041F"/>
    <w:rsid w:val="00D63B3F"/>
    <w:rsid w:val="00D646BC"/>
    <w:rsid w:val="00D649D3"/>
    <w:rsid w:val="00D64FDF"/>
    <w:rsid w:val="00D67BA7"/>
    <w:rsid w:val="00D71A5E"/>
    <w:rsid w:val="00D72533"/>
    <w:rsid w:val="00D72883"/>
    <w:rsid w:val="00D7483C"/>
    <w:rsid w:val="00D759BF"/>
    <w:rsid w:val="00D75C01"/>
    <w:rsid w:val="00D7793E"/>
    <w:rsid w:val="00D779FD"/>
    <w:rsid w:val="00D77EEE"/>
    <w:rsid w:val="00D83970"/>
    <w:rsid w:val="00D84E62"/>
    <w:rsid w:val="00D84F99"/>
    <w:rsid w:val="00D84FD0"/>
    <w:rsid w:val="00D853A6"/>
    <w:rsid w:val="00D85889"/>
    <w:rsid w:val="00D8702E"/>
    <w:rsid w:val="00D873C7"/>
    <w:rsid w:val="00D87470"/>
    <w:rsid w:val="00D87BA6"/>
    <w:rsid w:val="00D87BE0"/>
    <w:rsid w:val="00D903A0"/>
    <w:rsid w:val="00D90B5B"/>
    <w:rsid w:val="00D9448C"/>
    <w:rsid w:val="00D94550"/>
    <w:rsid w:val="00D94DCC"/>
    <w:rsid w:val="00D9597C"/>
    <w:rsid w:val="00DA0D6A"/>
    <w:rsid w:val="00DA1438"/>
    <w:rsid w:val="00DA596C"/>
    <w:rsid w:val="00DA66F1"/>
    <w:rsid w:val="00DB2BB7"/>
    <w:rsid w:val="00DB7089"/>
    <w:rsid w:val="00DC1089"/>
    <w:rsid w:val="00DC3CE5"/>
    <w:rsid w:val="00DC558A"/>
    <w:rsid w:val="00DD285D"/>
    <w:rsid w:val="00DD522D"/>
    <w:rsid w:val="00DD64C1"/>
    <w:rsid w:val="00DD666F"/>
    <w:rsid w:val="00DD68A5"/>
    <w:rsid w:val="00DD71E4"/>
    <w:rsid w:val="00DE282E"/>
    <w:rsid w:val="00DE5A23"/>
    <w:rsid w:val="00DE5EC4"/>
    <w:rsid w:val="00DF1783"/>
    <w:rsid w:val="00DF28A6"/>
    <w:rsid w:val="00DF29D0"/>
    <w:rsid w:val="00DF37E7"/>
    <w:rsid w:val="00DF71AD"/>
    <w:rsid w:val="00E00A18"/>
    <w:rsid w:val="00E01429"/>
    <w:rsid w:val="00E028F3"/>
    <w:rsid w:val="00E0308E"/>
    <w:rsid w:val="00E03F36"/>
    <w:rsid w:val="00E04628"/>
    <w:rsid w:val="00E05B41"/>
    <w:rsid w:val="00E14E87"/>
    <w:rsid w:val="00E15570"/>
    <w:rsid w:val="00E26DF8"/>
    <w:rsid w:val="00E30661"/>
    <w:rsid w:val="00E322DE"/>
    <w:rsid w:val="00E3273E"/>
    <w:rsid w:val="00E32884"/>
    <w:rsid w:val="00E36437"/>
    <w:rsid w:val="00E366D8"/>
    <w:rsid w:val="00E36F98"/>
    <w:rsid w:val="00E43240"/>
    <w:rsid w:val="00E4365E"/>
    <w:rsid w:val="00E45310"/>
    <w:rsid w:val="00E508ED"/>
    <w:rsid w:val="00E5352D"/>
    <w:rsid w:val="00E53793"/>
    <w:rsid w:val="00E53FAE"/>
    <w:rsid w:val="00E54672"/>
    <w:rsid w:val="00E549F2"/>
    <w:rsid w:val="00E55736"/>
    <w:rsid w:val="00E563B4"/>
    <w:rsid w:val="00E60110"/>
    <w:rsid w:val="00E62E06"/>
    <w:rsid w:val="00E66516"/>
    <w:rsid w:val="00E667F8"/>
    <w:rsid w:val="00E67E85"/>
    <w:rsid w:val="00E70214"/>
    <w:rsid w:val="00E72407"/>
    <w:rsid w:val="00E739EB"/>
    <w:rsid w:val="00E750A9"/>
    <w:rsid w:val="00E82745"/>
    <w:rsid w:val="00E846FB"/>
    <w:rsid w:val="00E92B35"/>
    <w:rsid w:val="00E95015"/>
    <w:rsid w:val="00E96388"/>
    <w:rsid w:val="00E963C3"/>
    <w:rsid w:val="00E96AF5"/>
    <w:rsid w:val="00E96C23"/>
    <w:rsid w:val="00E97A9B"/>
    <w:rsid w:val="00EA4F63"/>
    <w:rsid w:val="00EA749D"/>
    <w:rsid w:val="00EB0B4E"/>
    <w:rsid w:val="00EB0DF8"/>
    <w:rsid w:val="00EB43DB"/>
    <w:rsid w:val="00EB4CFB"/>
    <w:rsid w:val="00EB6020"/>
    <w:rsid w:val="00EC0486"/>
    <w:rsid w:val="00EC2E02"/>
    <w:rsid w:val="00EC632B"/>
    <w:rsid w:val="00EC709C"/>
    <w:rsid w:val="00ED1178"/>
    <w:rsid w:val="00ED1BDE"/>
    <w:rsid w:val="00ED4727"/>
    <w:rsid w:val="00ED50EB"/>
    <w:rsid w:val="00EE0410"/>
    <w:rsid w:val="00EE0708"/>
    <w:rsid w:val="00EE4672"/>
    <w:rsid w:val="00EE4F35"/>
    <w:rsid w:val="00EF3B35"/>
    <w:rsid w:val="00F014CB"/>
    <w:rsid w:val="00F021A8"/>
    <w:rsid w:val="00F07F32"/>
    <w:rsid w:val="00F13132"/>
    <w:rsid w:val="00F15DE8"/>
    <w:rsid w:val="00F16341"/>
    <w:rsid w:val="00F20347"/>
    <w:rsid w:val="00F212F8"/>
    <w:rsid w:val="00F21AB6"/>
    <w:rsid w:val="00F22C1A"/>
    <w:rsid w:val="00F24E41"/>
    <w:rsid w:val="00F31A00"/>
    <w:rsid w:val="00F32975"/>
    <w:rsid w:val="00F37E0F"/>
    <w:rsid w:val="00F37EBF"/>
    <w:rsid w:val="00F41AC0"/>
    <w:rsid w:val="00F427AF"/>
    <w:rsid w:val="00F42F54"/>
    <w:rsid w:val="00F46D3F"/>
    <w:rsid w:val="00F47289"/>
    <w:rsid w:val="00F50A13"/>
    <w:rsid w:val="00F511F7"/>
    <w:rsid w:val="00F5533F"/>
    <w:rsid w:val="00F5585E"/>
    <w:rsid w:val="00F56F6D"/>
    <w:rsid w:val="00F57A8A"/>
    <w:rsid w:val="00F60FBF"/>
    <w:rsid w:val="00F60FF6"/>
    <w:rsid w:val="00F6369C"/>
    <w:rsid w:val="00F6528F"/>
    <w:rsid w:val="00F654B8"/>
    <w:rsid w:val="00F65ACE"/>
    <w:rsid w:val="00F70981"/>
    <w:rsid w:val="00F70E53"/>
    <w:rsid w:val="00F71F6A"/>
    <w:rsid w:val="00F73500"/>
    <w:rsid w:val="00F74065"/>
    <w:rsid w:val="00F75441"/>
    <w:rsid w:val="00F818C6"/>
    <w:rsid w:val="00F81DE8"/>
    <w:rsid w:val="00F85C70"/>
    <w:rsid w:val="00F91C8A"/>
    <w:rsid w:val="00F92A79"/>
    <w:rsid w:val="00F94180"/>
    <w:rsid w:val="00F95863"/>
    <w:rsid w:val="00F96FF8"/>
    <w:rsid w:val="00FA0562"/>
    <w:rsid w:val="00FA121C"/>
    <w:rsid w:val="00FA2DC1"/>
    <w:rsid w:val="00FA41BE"/>
    <w:rsid w:val="00FA4360"/>
    <w:rsid w:val="00FA5ECC"/>
    <w:rsid w:val="00FA62FB"/>
    <w:rsid w:val="00FA7AD9"/>
    <w:rsid w:val="00FA7BF7"/>
    <w:rsid w:val="00FB011B"/>
    <w:rsid w:val="00FB1962"/>
    <w:rsid w:val="00FB4663"/>
    <w:rsid w:val="00FB4893"/>
    <w:rsid w:val="00FB7822"/>
    <w:rsid w:val="00FC1307"/>
    <w:rsid w:val="00FC45D6"/>
    <w:rsid w:val="00FC4DCD"/>
    <w:rsid w:val="00FD5238"/>
    <w:rsid w:val="00FD5F4D"/>
    <w:rsid w:val="00FE461B"/>
    <w:rsid w:val="00FF09C2"/>
    <w:rsid w:val="00FF20ED"/>
    <w:rsid w:val="00FF3971"/>
    <w:rsid w:val="00FF46BF"/>
    <w:rsid w:val="00FF644C"/>
    <w:rsid w:val="00FF6F8F"/>
    <w:rsid w:val="00FF79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SG"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B02"/>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9B17D0"/>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semiHidden/>
    <w:unhideWhenUsed/>
    <w:qFormat/>
    <w:rsid w:val="00121C31"/>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iPriority w:val="9"/>
    <w:semiHidden/>
    <w:unhideWhenUsed/>
    <w:qFormat/>
    <w:rsid w:val="00086B65"/>
    <w:pPr>
      <w:keepNext/>
      <w:spacing w:before="240" w:after="60"/>
      <w:outlineLvl w:val="2"/>
    </w:pPr>
    <w:rPr>
      <w:rFonts w:ascii="Cambria" w:eastAsia="SimSun" w:hAnsi="Cambria"/>
      <w:b/>
      <w:bCs/>
      <w:sz w:val="26"/>
      <w:szCs w:val="26"/>
    </w:rPr>
  </w:style>
  <w:style w:type="paragraph" w:styleId="Heading5">
    <w:name w:val="heading 5"/>
    <w:basedOn w:val="Normal"/>
    <w:next w:val="Normal"/>
    <w:link w:val="Heading5Char"/>
    <w:qFormat/>
    <w:rsid w:val="00A277A6"/>
    <w:pPr>
      <w:keepLines/>
      <w:numPr>
        <w:ilvl w:val="4"/>
        <w:numId w:val="1"/>
      </w:numPr>
      <w:tabs>
        <w:tab w:val="left" w:pos="1200"/>
      </w:tabs>
      <w:spacing w:before="360" w:after="240" w:line="440" w:lineRule="atLeast"/>
      <w:outlineLvl w:val="4"/>
    </w:pPr>
    <w:rPr>
      <w:rFonts w:eastAsia="SimSun"/>
      <w:bCs/>
      <w:iCs/>
      <w:sz w:val="26"/>
      <w:szCs w:val="26"/>
      <w:lang w:val="en-SG" w:eastAsia="zh-CN"/>
    </w:rPr>
  </w:style>
  <w:style w:type="paragraph" w:styleId="Heading8">
    <w:name w:val="heading 8"/>
    <w:basedOn w:val="Normal"/>
    <w:next w:val="Normal"/>
    <w:link w:val="Heading8Char"/>
    <w:uiPriority w:val="9"/>
    <w:semiHidden/>
    <w:unhideWhenUsed/>
    <w:qFormat/>
    <w:rsid w:val="00796F41"/>
    <w:pPr>
      <w:spacing w:before="240" w:after="60"/>
      <w:outlineLvl w:val="7"/>
    </w:pPr>
    <w:rPr>
      <w:rFonts w:ascii="Calibri" w:eastAsia="SimSu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pSectionText1">
    <w:name w:val="ExpSectionText(1)"/>
    <w:basedOn w:val="Normal"/>
    <w:link w:val="ExpSectionText1Char"/>
    <w:rsid w:val="007F1B02"/>
    <w:pPr>
      <w:suppressLineNumbers/>
      <w:spacing w:before="120"/>
      <w:ind w:firstLine="284"/>
      <w:jc w:val="both"/>
    </w:pPr>
    <w:rPr>
      <w:sz w:val="22"/>
      <w:szCs w:val="20"/>
    </w:rPr>
  </w:style>
  <w:style w:type="paragraph" w:customStyle="1" w:styleId="ExpSectionTexta">
    <w:name w:val="ExpSectionText(a)"/>
    <w:basedOn w:val="Normal"/>
    <w:rsid w:val="007F1B02"/>
    <w:pPr>
      <w:suppressLineNumbers/>
      <w:spacing w:before="120"/>
      <w:ind w:left="952" w:hanging="476"/>
      <w:jc w:val="both"/>
    </w:pPr>
    <w:rPr>
      <w:sz w:val="22"/>
      <w:szCs w:val="20"/>
    </w:rPr>
  </w:style>
  <w:style w:type="table" w:styleId="TableGrid">
    <w:name w:val="Table Grid"/>
    <w:basedOn w:val="TableNormal"/>
    <w:rsid w:val="007F1B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F1B02"/>
    <w:pPr>
      <w:tabs>
        <w:tab w:val="center" w:pos="4320"/>
        <w:tab w:val="right" w:pos="8640"/>
      </w:tabs>
    </w:pPr>
  </w:style>
  <w:style w:type="character" w:customStyle="1" w:styleId="FooterChar">
    <w:name w:val="Footer Char"/>
    <w:basedOn w:val="DefaultParagraphFont"/>
    <w:link w:val="Footer"/>
    <w:uiPriority w:val="99"/>
    <w:rsid w:val="007F1B02"/>
    <w:rPr>
      <w:rFonts w:ascii="Times New Roman" w:eastAsia="Times New Roman" w:hAnsi="Times New Roman" w:cs="Times New Roman"/>
      <w:sz w:val="24"/>
      <w:szCs w:val="24"/>
      <w:lang w:eastAsia="en-US"/>
    </w:rPr>
  </w:style>
  <w:style w:type="character" w:styleId="PageNumber">
    <w:name w:val="page number"/>
    <w:basedOn w:val="DefaultParagraphFont"/>
    <w:rsid w:val="007F1B02"/>
  </w:style>
  <w:style w:type="paragraph" w:customStyle="1" w:styleId="ExpSectionTexti">
    <w:name w:val="ExpSectionText(i)"/>
    <w:basedOn w:val="Normal"/>
    <w:rsid w:val="00ED50EB"/>
    <w:pPr>
      <w:tabs>
        <w:tab w:val="right" w:pos="1350"/>
      </w:tabs>
      <w:spacing w:before="120"/>
      <w:ind w:left="1440" w:hanging="720"/>
      <w:jc w:val="both"/>
    </w:pPr>
    <w:rPr>
      <w:sz w:val="22"/>
      <w:szCs w:val="20"/>
    </w:rPr>
  </w:style>
  <w:style w:type="paragraph" w:customStyle="1" w:styleId="ExpSectionTextaN">
    <w:name w:val="ExpSectionText(a)N+"/>
    <w:basedOn w:val="Normal"/>
    <w:rsid w:val="00ED50EB"/>
    <w:pPr>
      <w:spacing w:before="120"/>
      <w:ind w:left="950"/>
      <w:jc w:val="both"/>
    </w:pPr>
    <w:rPr>
      <w:sz w:val="22"/>
      <w:szCs w:val="20"/>
    </w:rPr>
  </w:style>
  <w:style w:type="paragraph" w:styleId="BalloonText">
    <w:name w:val="Balloon Text"/>
    <w:basedOn w:val="Normal"/>
    <w:semiHidden/>
    <w:rsid w:val="0012678F"/>
    <w:rPr>
      <w:rFonts w:ascii="Tahoma" w:hAnsi="Tahoma" w:cs="Tahoma"/>
      <w:sz w:val="16"/>
      <w:szCs w:val="16"/>
    </w:rPr>
  </w:style>
  <w:style w:type="paragraph" w:styleId="ListParagraph">
    <w:name w:val="List Paragraph"/>
    <w:aliases w:val="Noise heading,RUS List,Credits,Number abc,a List Paragraph"/>
    <w:basedOn w:val="Normal"/>
    <w:link w:val="ListParagraphChar"/>
    <w:uiPriority w:val="34"/>
    <w:qFormat/>
    <w:rsid w:val="00C604E7"/>
    <w:pPr>
      <w:ind w:left="720"/>
    </w:pPr>
    <w:rPr>
      <w:sz w:val="20"/>
      <w:szCs w:val="20"/>
    </w:rPr>
  </w:style>
  <w:style w:type="character" w:styleId="FootnoteReference">
    <w:name w:val="footnote reference"/>
    <w:aliases w:val="FOOTNOTE,pre-cab,ftref,16 Point,Superscript 6 Point,fr"/>
    <w:basedOn w:val="DefaultParagraphFont"/>
    <w:uiPriority w:val="99"/>
    <w:rsid w:val="00EB0DF8"/>
    <w:rPr>
      <w:vertAlign w:val="superscript"/>
    </w:rPr>
  </w:style>
  <w:style w:type="paragraph" w:styleId="FootnoteText">
    <w:name w:val="footnote text"/>
    <w:aliases w:val=" Char2,Char2,Footnote Text Char1 Char,Footnote Text Char Char Char,Footnote Text Char1,Footnote Text Char Char,Footnote Text Char2 Char Char,Footnote Text Char1 Char Char Char,Footnote Text Char Char Char Char Char,Arial, Char,Char,Car"/>
    <w:basedOn w:val="Normal"/>
    <w:link w:val="FootnoteTextChar"/>
    <w:uiPriority w:val="99"/>
    <w:qFormat/>
    <w:rsid w:val="00EB0DF8"/>
    <w:pPr>
      <w:jc w:val="both"/>
    </w:pPr>
    <w:rPr>
      <w:sz w:val="20"/>
      <w:szCs w:val="20"/>
      <w:lang w:val="en-GB"/>
    </w:rPr>
  </w:style>
  <w:style w:type="character" w:customStyle="1" w:styleId="FootnoteTextChar">
    <w:name w:val="Footnote Text Char"/>
    <w:aliases w:val=" Char2 Char,Char2 Char,Footnote Text Char1 Char Char,Footnote Text Char Char Char Char,Footnote Text Char1 Char1,Footnote Text Char Char Char1,Footnote Text Char2 Char Char Char,Footnote Text Char1 Char Char Char Char,Arial Char"/>
    <w:basedOn w:val="DefaultParagraphFont"/>
    <w:link w:val="FootnoteText"/>
    <w:uiPriority w:val="99"/>
    <w:rsid w:val="00EB0DF8"/>
    <w:rPr>
      <w:rFonts w:ascii="Times New Roman" w:eastAsia="Times New Roman" w:hAnsi="Times New Roman"/>
      <w:lang w:val="en-GB" w:eastAsia="en-US"/>
    </w:rPr>
  </w:style>
  <w:style w:type="paragraph" w:styleId="PlainText">
    <w:name w:val="Plain Text"/>
    <w:basedOn w:val="Normal"/>
    <w:link w:val="PlainTextChar"/>
    <w:uiPriority w:val="99"/>
    <w:unhideWhenUsed/>
    <w:rsid w:val="007F522E"/>
    <w:rPr>
      <w:rFonts w:ascii="Arial" w:eastAsia="Calibri" w:hAnsi="Arial"/>
      <w:sz w:val="21"/>
      <w:szCs w:val="21"/>
      <w:lang w:val="en-SG"/>
    </w:rPr>
  </w:style>
  <w:style w:type="character" w:customStyle="1" w:styleId="PlainTextChar">
    <w:name w:val="Plain Text Char"/>
    <w:basedOn w:val="DefaultParagraphFont"/>
    <w:link w:val="PlainText"/>
    <w:uiPriority w:val="99"/>
    <w:rsid w:val="007F522E"/>
    <w:rPr>
      <w:rFonts w:ascii="Arial" w:eastAsia="Calibri" w:hAnsi="Arial"/>
      <w:sz w:val="21"/>
      <w:szCs w:val="21"/>
      <w:lang w:eastAsia="en-US"/>
    </w:rPr>
  </w:style>
  <w:style w:type="paragraph" w:styleId="BodyText2">
    <w:name w:val="Body Text 2"/>
    <w:basedOn w:val="Normal"/>
    <w:link w:val="BodyText2Char"/>
    <w:rsid w:val="0096640A"/>
    <w:pPr>
      <w:spacing w:after="120" w:line="480" w:lineRule="auto"/>
    </w:pPr>
    <w:rPr>
      <w:sz w:val="20"/>
      <w:szCs w:val="20"/>
    </w:rPr>
  </w:style>
  <w:style w:type="character" w:customStyle="1" w:styleId="BodyText2Char">
    <w:name w:val="Body Text 2 Char"/>
    <w:basedOn w:val="DefaultParagraphFont"/>
    <w:link w:val="BodyText2"/>
    <w:rsid w:val="0096640A"/>
    <w:rPr>
      <w:rFonts w:ascii="Times New Roman" w:eastAsia="Times New Roman" w:hAnsi="Times New Roman"/>
      <w:lang w:val="en-US" w:eastAsia="en-US"/>
    </w:rPr>
  </w:style>
  <w:style w:type="character" w:customStyle="1" w:styleId="Heading5Char">
    <w:name w:val="Heading 5 Char"/>
    <w:basedOn w:val="DefaultParagraphFont"/>
    <w:link w:val="Heading5"/>
    <w:rsid w:val="00A277A6"/>
    <w:rPr>
      <w:rFonts w:ascii="Times New Roman" w:hAnsi="Times New Roman"/>
      <w:bCs/>
      <w:iCs/>
      <w:sz w:val="26"/>
      <w:szCs w:val="26"/>
      <w:lang w:eastAsia="zh-CN"/>
    </w:rPr>
  </w:style>
  <w:style w:type="character" w:styleId="CommentReference">
    <w:name w:val="annotation reference"/>
    <w:basedOn w:val="DefaultParagraphFont"/>
    <w:uiPriority w:val="99"/>
    <w:semiHidden/>
    <w:rsid w:val="00A277A6"/>
    <w:rPr>
      <w:sz w:val="16"/>
      <w:szCs w:val="16"/>
    </w:rPr>
  </w:style>
  <w:style w:type="paragraph" w:styleId="CommentText">
    <w:name w:val="annotation text"/>
    <w:basedOn w:val="Normal"/>
    <w:link w:val="CommentTextChar"/>
    <w:uiPriority w:val="99"/>
    <w:rsid w:val="00A277A6"/>
    <w:rPr>
      <w:sz w:val="20"/>
      <w:szCs w:val="20"/>
    </w:rPr>
  </w:style>
  <w:style w:type="character" w:customStyle="1" w:styleId="CommentTextChar">
    <w:name w:val="Comment Text Char"/>
    <w:basedOn w:val="DefaultParagraphFont"/>
    <w:link w:val="CommentText"/>
    <w:uiPriority w:val="99"/>
    <w:rsid w:val="00A277A6"/>
    <w:rPr>
      <w:rFonts w:ascii="Times New Roman" w:eastAsia="Times New Roman" w:hAnsi="Times New Roman"/>
      <w:lang w:val="en-US" w:eastAsia="en-US"/>
    </w:rPr>
  </w:style>
  <w:style w:type="paragraph" w:customStyle="1" w:styleId="DefaultParagraphFontParaCharCharChar">
    <w:name w:val="Default Paragraph Font Para Char Char Char"/>
    <w:basedOn w:val="Normal"/>
    <w:rsid w:val="00A277A6"/>
    <w:pPr>
      <w:spacing w:after="160" w:line="240" w:lineRule="exact"/>
    </w:pPr>
    <w:rPr>
      <w:rFonts w:ascii="Verdana" w:hAnsi="Verdana"/>
      <w:sz w:val="20"/>
      <w:szCs w:val="20"/>
    </w:rPr>
  </w:style>
  <w:style w:type="paragraph" w:customStyle="1" w:styleId="SLName">
    <w:name w:val="SLName"/>
    <w:basedOn w:val="Normal"/>
    <w:rsid w:val="001562A0"/>
    <w:pPr>
      <w:keepNext/>
      <w:keepLines/>
      <w:spacing w:before="120"/>
      <w:jc w:val="center"/>
    </w:pPr>
    <w:rPr>
      <w:caps/>
      <w:sz w:val="26"/>
      <w:szCs w:val="20"/>
      <w:lang w:val="en-GB"/>
    </w:rPr>
  </w:style>
  <w:style w:type="paragraph" w:styleId="CommentSubject">
    <w:name w:val="annotation subject"/>
    <w:basedOn w:val="CommentText"/>
    <w:next w:val="CommentText"/>
    <w:link w:val="CommentSubjectChar"/>
    <w:uiPriority w:val="99"/>
    <w:semiHidden/>
    <w:unhideWhenUsed/>
    <w:rsid w:val="001562A0"/>
    <w:rPr>
      <w:b/>
      <w:bCs/>
    </w:rPr>
  </w:style>
  <w:style w:type="character" w:customStyle="1" w:styleId="CommentSubjectChar">
    <w:name w:val="Comment Subject Char"/>
    <w:basedOn w:val="CommentTextChar"/>
    <w:link w:val="CommentSubject"/>
    <w:uiPriority w:val="99"/>
    <w:semiHidden/>
    <w:rsid w:val="001562A0"/>
    <w:rPr>
      <w:rFonts w:ascii="Times New Roman" w:eastAsia="Times New Roman" w:hAnsi="Times New Roman"/>
      <w:b/>
      <w:bCs/>
      <w:lang w:val="en-US" w:eastAsia="en-US"/>
    </w:rPr>
  </w:style>
  <w:style w:type="character" w:styleId="Hyperlink">
    <w:name w:val="Hyperlink"/>
    <w:basedOn w:val="DefaultParagraphFont"/>
    <w:uiPriority w:val="99"/>
    <w:unhideWhenUsed/>
    <w:rsid w:val="002114C1"/>
    <w:rPr>
      <w:color w:val="0000FF"/>
      <w:u w:val="single"/>
    </w:rPr>
  </w:style>
  <w:style w:type="character" w:customStyle="1" w:styleId="Heading2Char">
    <w:name w:val="Heading 2 Char"/>
    <w:basedOn w:val="DefaultParagraphFont"/>
    <w:link w:val="Heading2"/>
    <w:rsid w:val="00121C31"/>
    <w:rPr>
      <w:rFonts w:ascii="Cambria" w:eastAsia="SimSun" w:hAnsi="Cambria" w:cs="Times New Roman"/>
      <w:b/>
      <w:bCs/>
      <w:i/>
      <w:iCs/>
      <w:sz w:val="28"/>
      <w:szCs w:val="28"/>
      <w:lang w:val="en-US" w:eastAsia="en-US"/>
    </w:rPr>
  </w:style>
  <w:style w:type="character" w:customStyle="1" w:styleId="Heading1Char">
    <w:name w:val="Heading 1 Char"/>
    <w:basedOn w:val="DefaultParagraphFont"/>
    <w:link w:val="Heading1"/>
    <w:rsid w:val="009B17D0"/>
    <w:rPr>
      <w:rFonts w:ascii="Cambria" w:eastAsia="SimSun" w:hAnsi="Cambria" w:cs="Times New Roman"/>
      <w:b/>
      <w:bCs/>
      <w:kern w:val="32"/>
      <w:sz w:val="32"/>
      <w:szCs w:val="32"/>
      <w:lang w:val="en-US" w:eastAsia="en-US"/>
    </w:rPr>
  </w:style>
  <w:style w:type="character" w:customStyle="1" w:styleId="Heading8Char">
    <w:name w:val="Heading 8 Char"/>
    <w:basedOn w:val="DefaultParagraphFont"/>
    <w:link w:val="Heading8"/>
    <w:rsid w:val="00796F41"/>
    <w:rPr>
      <w:rFonts w:ascii="Calibri" w:eastAsia="SimSun" w:hAnsi="Calibri" w:cs="Times New Roman"/>
      <w:i/>
      <w:iCs/>
      <w:sz w:val="24"/>
      <w:szCs w:val="24"/>
      <w:lang w:val="en-US" w:eastAsia="en-US"/>
    </w:rPr>
  </w:style>
  <w:style w:type="character" w:customStyle="1" w:styleId="Heading3Char">
    <w:name w:val="Heading 3 Char"/>
    <w:basedOn w:val="DefaultParagraphFont"/>
    <w:link w:val="Heading3"/>
    <w:rsid w:val="00086B65"/>
    <w:rPr>
      <w:rFonts w:ascii="Cambria" w:eastAsia="SimSun" w:hAnsi="Cambria" w:cs="Times New Roman"/>
      <w:b/>
      <w:bCs/>
      <w:sz w:val="26"/>
      <w:szCs w:val="26"/>
      <w:lang w:val="en-US" w:eastAsia="en-US"/>
    </w:rPr>
  </w:style>
  <w:style w:type="paragraph" w:styleId="NormalWeb">
    <w:name w:val="Normal (Web)"/>
    <w:basedOn w:val="Normal"/>
    <w:uiPriority w:val="99"/>
    <w:unhideWhenUsed/>
    <w:rsid w:val="0086438F"/>
    <w:pPr>
      <w:spacing w:before="100" w:beforeAutospacing="1" w:after="100" w:afterAutospacing="1"/>
    </w:pPr>
    <w:rPr>
      <w:rFonts w:eastAsia="Calibri"/>
      <w:lang w:val="en-SG" w:eastAsia="en-SG"/>
    </w:rPr>
  </w:style>
  <w:style w:type="paragraph" w:customStyle="1" w:styleId="Default">
    <w:name w:val="Default"/>
    <w:uiPriority w:val="99"/>
    <w:rsid w:val="006213C0"/>
    <w:pPr>
      <w:autoSpaceDE w:val="0"/>
      <w:autoSpaceDN w:val="0"/>
      <w:adjustRightInd w:val="0"/>
    </w:pPr>
    <w:rPr>
      <w:rFonts w:ascii="Times New Roman" w:hAnsi="Times New Roman"/>
      <w:color w:val="000000"/>
      <w:sz w:val="24"/>
      <w:szCs w:val="24"/>
      <w:lang w:val="en-GB" w:eastAsia="zh-CN"/>
    </w:rPr>
  </w:style>
  <w:style w:type="character" w:customStyle="1" w:styleId="ListParagraphChar">
    <w:name w:val="List Paragraph Char"/>
    <w:aliases w:val="Noise heading Char,RUS List Char,Credits Char,Number abc Char,a List Paragraph Char"/>
    <w:basedOn w:val="DefaultParagraphFont"/>
    <w:link w:val="ListParagraph"/>
    <w:uiPriority w:val="34"/>
    <w:locked/>
    <w:rsid w:val="00F74065"/>
    <w:rPr>
      <w:rFonts w:ascii="Times New Roman" w:eastAsia="Times New Roman" w:hAnsi="Times New Roman"/>
      <w:lang w:val="en-US" w:eastAsia="en-US"/>
    </w:rPr>
  </w:style>
  <w:style w:type="paragraph" w:styleId="Revision">
    <w:name w:val="Revision"/>
    <w:hidden/>
    <w:uiPriority w:val="99"/>
    <w:semiHidden/>
    <w:rsid w:val="009F65A1"/>
    <w:rPr>
      <w:rFonts w:ascii="Times New Roman" w:eastAsia="Times New Roman" w:hAnsi="Times New Roman"/>
      <w:sz w:val="24"/>
      <w:szCs w:val="24"/>
      <w:lang w:val="en-US" w:eastAsia="en-US"/>
    </w:rPr>
  </w:style>
  <w:style w:type="paragraph" w:styleId="Header">
    <w:name w:val="header"/>
    <w:basedOn w:val="Normal"/>
    <w:link w:val="HeaderChar"/>
    <w:uiPriority w:val="99"/>
    <w:semiHidden/>
    <w:unhideWhenUsed/>
    <w:rsid w:val="0006698B"/>
    <w:pPr>
      <w:tabs>
        <w:tab w:val="center" w:pos="4513"/>
        <w:tab w:val="right" w:pos="9026"/>
      </w:tabs>
    </w:pPr>
  </w:style>
  <w:style w:type="character" w:customStyle="1" w:styleId="HeaderChar">
    <w:name w:val="Header Char"/>
    <w:basedOn w:val="DefaultParagraphFont"/>
    <w:link w:val="Header"/>
    <w:uiPriority w:val="99"/>
    <w:semiHidden/>
    <w:rsid w:val="0006698B"/>
    <w:rPr>
      <w:rFonts w:ascii="Times New Roman" w:eastAsia="Times New Roman" w:hAnsi="Times New Roman"/>
      <w:sz w:val="24"/>
      <w:szCs w:val="24"/>
      <w:lang w:val="en-US" w:eastAsia="en-US"/>
    </w:rPr>
  </w:style>
  <w:style w:type="character" w:styleId="Emphasis">
    <w:name w:val="Emphasis"/>
    <w:basedOn w:val="DefaultParagraphFont"/>
    <w:uiPriority w:val="20"/>
    <w:qFormat/>
    <w:rsid w:val="00821292"/>
    <w:rPr>
      <w:i/>
      <w:iCs/>
    </w:rPr>
  </w:style>
  <w:style w:type="paragraph" w:customStyle="1" w:styleId="PMAns">
    <w:name w:val="PM Ans"/>
    <w:basedOn w:val="Normal"/>
    <w:link w:val="PMAnsChar"/>
    <w:qFormat/>
    <w:rsid w:val="00D32ECA"/>
    <w:pPr>
      <w:spacing w:before="120" w:after="240" w:line="276" w:lineRule="auto"/>
      <w:jc w:val="both"/>
    </w:pPr>
    <w:rPr>
      <w:rFonts w:eastAsia="SimSun"/>
      <w:sz w:val="26"/>
      <w:szCs w:val="26"/>
    </w:rPr>
  </w:style>
  <w:style w:type="character" w:customStyle="1" w:styleId="PMAnsChar">
    <w:name w:val="PM Ans Char"/>
    <w:basedOn w:val="DefaultParagraphFont"/>
    <w:link w:val="PMAns"/>
    <w:rsid w:val="00D32ECA"/>
    <w:rPr>
      <w:rFonts w:ascii="Times New Roman" w:hAnsi="Times New Roman"/>
      <w:sz w:val="26"/>
      <w:szCs w:val="26"/>
      <w:lang w:val="en-US" w:eastAsia="en-US"/>
    </w:rPr>
  </w:style>
  <w:style w:type="character" w:customStyle="1" w:styleId="ExpSectionText1Char">
    <w:name w:val="ExpSectionText(1) Char"/>
    <w:basedOn w:val="DefaultParagraphFont"/>
    <w:link w:val="ExpSectionText1"/>
    <w:rsid w:val="000044DA"/>
    <w:rPr>
      <w:rFonts w:ascii="Times New Roman" w:eastAsia="Times New Roman" w:hAnsi="Times New Roman"/>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SG"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B02"/>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9B17D0"/>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semiHidden/>
    <w:unhideWhenUsed/>
    <w:qFormat/>
    <w:rsid w:val="00121C31"/>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iPriority w:val="9"/>
    <w:semiHidden/>
    <w:unhideWhenUsed/>
    <w:qFormat/>
    <w:rsid w:val="00086B65"/>
    <w:pPr>
      <w:keepNext/>
      <w:spacing w:before="240" w:after="60"/>
      <w:outlineLvl w:val="2"/>
    </w:pPr>
    <w:rPr>
      <w:rFonts w:ascii="Cambria" w:eastAsia="SimSun" w:hAnsi="Cambria"/>
      <w:b/>
      <w:bCs/>
      <w:sz w:val="26"/>
      <w:szCs w:val="26"/>
    </w:rPr>
  </w:style>
  <w:style w:type="paragraph" w:styleId="Heading5">
    <w:name w:val="heading 5"/>
    <w:basedOn w:val="Normal"/>
    <w:next w:val="Normal"/>
    <w:link w:val="Heading5Char"/>
    <w:qFormat/>
    <w:rsid w:val="00A277A6"/>
    <w:pPr>
      <w:keepLines/>
      <w:numPr>
        <w:ilvl w:val="4"/>
        <w:numId w:val="1"/>
      </w:numPr>
      <w:tabs>
        <w:tab w:val="left" w:pos="1200"/>
      </w:tabs>
      <w:spacing w:before="360" w:after="240" w:line="440" w:lineRule="atLeast"/>
      <w:outlineLvl w:val="4"/>
    </w:pPr>
    <w:rPr>
      <w:rFonts w:eastAsia="SimSun"/>
      <w:bCs/>
      <w:iCs/>
      <w:sz w:val="26"/>
      <w:szCs w:val="26"/>
      <w:lang w:val="en-SG" w:eastAsia="zh-CN"/>
    </w:rPr>
  </w:style>
  <w:style w:type="paragraph" w:styleId="Heading8">
    <w:name w:val="heading 8"/>
    <w:basedOn w:val="Normal"/>
    <w:next w:val="Normal"/>
    <w:link w:val="Heading8Char"/>
    <w:uiPriority w:val="9"/>
    <w:semiHidden/>
    <w:unhideWhenUsed/>
    <w:qFormat/>
    <w:rsid w:val="00796F41"/>
    <w:pPr>
      <w:spacing w:before="240" w:after="60"/>
      <w:outlineLvl w:val="7"/>
    </w:pPr>
    <w:rPr>
      <w:rFonts w:ascii="Calibri" w:eastAsia="SimSu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pSectionText1">
    <w:name w:val="ExpSectionText(1)"/>
    <w:basedOn w:val="Normal"/>
    <w:link w:val="ExpSectionText1Char"/>
    <w:rsid w:val="007F1B02"/>
    <w:pPr>
      <w:suppressLineNumbers/>
      <w:spacing w:before="120"/>
      <w:ind w:firstLine="284"/>
      <w:jc w:val="both"/>
    </w:pPr>
    <w:rPr>
      <w:sz w:val="22"/>
      <w:szCs w:val="20"/>
    </w:rPr>
  </w:style>
  <w:style w:type="paragraph" w:customStyle="1" w:styleId="ExpSectionTexta">
    <w:name w:val="ExpSectionText(a)"/>
    <w:basedOn w:val="Normal"/>
    <w:rsid w:val="007F1B02"/>
    <w:pPr>
      <w:suppressLineNumbers/>
      <w:spacing w:before="120"/>
      <w:ind w:left="952" w:hanging="476"/>
      <w:jc w:val="both"/>
    </w:pPr>
    <w:rPr>
      <w:sz w:val="22"/>
      <w:szCs w:val="20"/>
    </w:rPr>
  </w:style>
  <w:style w:type="table" w:styleId="TableGrid">
    <w:name w:val="Table Grid"/>
    <w:basedOn w:val="TableNormal"/>
    <w:rsid w:val="007F1B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F1B02"/>
    <w:pPr>
      <w:tabs>
        <w:tab w:val="center" w:pos="4320"/>
        <w:tab w:val="right" w:pos="8640"/>
      </w:tabs>
    </w:pPr>
  </w:style>
  <w:style w:type="character" w:customStyle="1" w:styleId="FooterChar">
    <w:name w:val="Footer Char"/>
    <w:basedOn w:val="DefaultParagraphFont"/>
    <w:link w:val="Footer"/>
    <w:uiPriority w:val="99"/>
    <w:rsid w:val="007F1B02"/>
    <w:rPr>
      <w:rFonts w:ascii="Times New Roman" w:eastAsia="Times New Roman" w:hAnsi="Times New Roman" w:cs="Times New Roman"/>
      <w:sz w:val="24"/>
      <w:szCs w:val="24"/>
      <w:lang w:eastAsia="en-US"/>
    </w:rPr>
  </w:style>
  <w:style w:type="character" w:styleId="PageNumber">
    <w:name w:val="page number"/>
    <w:basedOn w:val="DefaultParagraphFont"/>
    <w:rsid w:val="007F1B02"/>
  </w:style>
  <w:style w:type="paragraph" w:customStyle="1" w:styleId="ExpSectionTexti">
    <w:name w:val="ExpSectionText(i)"/>
    <w:basedOn w:val="Normal"/>
    <w:rsid w:val="00ED50EB"/>
    <w:pPr>
      <w:tabs>
        <w:tab w:val="right" w:pos="1350"/>
      </w:tabs>
      <w:spacing w:before="120"/>
      <w:ind w:left="1440" w:hanging="720"/>
      <w:jc w:val="both"/>
    </w:pPr>
    <w:rPr>
      <w:sz w:val="22"/>
      <w:szCs w:val="20"/>
    </w:rPr>
  </w:style>
  <w:style w:type="paragraph" w:customStyle="1" w:styleId="ExpSectionTextaN">
    <w:name w:val="ExpSectionText(a)N+"/>
    <w:basedOn w:val="Normal"/>
    <w:rsid w:val="00ED50EB"/>
    <w:pPr>
      <w:spacing w:before="120"/>
      <w:ind w:left="950"/>
      <w:jc w:val="both"/>
    </w:pPr>
    <w:rPr>
      <w:sz w:val="22"/>
      <w:szCs w:val="20"/>
    </w:rPr>
  </w:style>
  <w:style w:type="paragraph" w:styleId="BalloonText">
    <w:name w:val="Balloon Text"/>
    <w:basedOn w:val="Normal"/>
    <w:semiHidden/>
    <w:rsid w:val="0012678F"/>
    <w:rPr>
      <w:rFonts w:ascii="Tahoma" w:hAnsi="Tahoma" w:cs="Tahoma"/>
      <w:sz w:val="16"/>
      <w:szCs w:val="16"/>
    </w:rPr>
  </w:style>
  <w:style w:type="paragraph" w:styleId="ListParagraph">
    <w:name w:val="List Paragraph"/>
    <w:aliases w:val="Noise heading,RUS List,Credits,Number abc,a List Paragraph"/>
    <w:basedOn w:val="Normal"/>
    <w:link w:val="ListParagraphChar"/>
    <w:uiPriority w:val="34"/>
    <w:qFormat/>
    <w:rsid w:val="00C604E7"/>
    <w:pPr>
      <w:ind w:left="720"/>
    </w:pPr>
    <w:rPr>
      <w:sz w:val="20"/>
      <w:szCs w:val="20"/>
    </w:rPr>
  </w:style>
  <w:style w:type="character" w:styleId="FootnoteReference">
    <w:name w:val="footnote reference"/>
    <w:aliases w:val="FOOTNOTE,pre-cab,ftref,16 Point,Superscript 6 Point,fr"/>
    <w:basedOn w:val="DefaultParagraphFont"/>
    <w:uiPriority w:val="99"/>
    <w:rsid w:val="00EB0DF8"/>
    <w:rPr>
      <w:vertAlign w:val="superscript"/>
    </w:rPr>
  </w:style>
  <w:style w:type="paragraph" w:styleId="FootnoteText">
    <w:name w:val="footnote text"/>
    <w:aliases w:val=" Char2,Char2,Footnote Text Char1 Char,Footnote Text Char Char Char,Footnote Text Char1,Footnote Text Char Char,Footnote Text Char2 Char Char,Footnote Text Char1 Char Char Char,Footnote Text Char Char Char Char Char,Arial, Char,Char,Car"/>
    <w:basedOn w:val="Normal"/>
    <w:link w:val="FootnoteTextChar"/>
    <w:uiPriority w:val="99"/>
    <w:qFormat/>
    <w:rsid w:val="00EB0DF8"/>
    <w:pPr>
      <w:jc w:val="both"/>
    </w:pPr>
    <w:rPr>
      <w:sz w:val="20"/>
      <w:szCs w:val="20"/>
      <w:lang w:val="en-GB"/>
    </w:rPr>
  </w:style>
  <w:style w:type="character" w:customStyle="1" w:styleId="FootnoteTextChar">
    <w:name w:val="Footnote Text Char"/>
    <w:aliases w:val=" Char2 Char,Char2 Char,Footnote Text Char1 Char Char,Footnote Text Char Char Char Char,Footnote Text Char1 Char1,Footnote Text Char Char Char1,Footnote Text Char2 Char Char Char,Footnote Text Char1 Char Char Char Char,Arial Char"/>
    <w:basedOn w:val="DefaultParagraphFont"/>
    <w:link w:val="FootnoteText"/>
    <w:uiPriority w:val="99"/>
    <w:rsid w:val="00EB0DF8"/>
    <w:rPr>
      <w:rFonts w:ascii="Times New Roman" w:eastAsia="Times New Roman" w:hAnsi="Times New Roman"/>
      <w:lang w:val="en-GB" w:eastAsia="en-US"/>
    </w:rPr>
  </w:style>
  <w:style w:type="paragraph" w:styleId="PlainText">
    <w:name w:val="Plain Text"/>
    <w:basedOn w:val="Normal"/>
    <w:link w:val="PlainTextChar"/>
    <w:uiPriority w:val="99"/>
    <w:unhideWhenUsed/>
    <w:rsid w:val="007F522E"/>
    <w:rPr>
      <w:rFonts w:ascii="Arial" w:eastAsia="Calibri" w:hAnsi="Arial"/>
      <w:sz w:val="21"/>
      <w:szCs w:val="21"/>
      <w:lang w:val="en-SG"/>
    </w:rPr>
  </w:style>
  <w:style w:type="character" w:customStyle="1" w:styleId="PlainTextChar">
    <w:name w:val="Plain Text Char"/>
    <w:basedOn w:val="DefaultParagraphFont"/>
    <w:link w:val="PlainText"/>
    <w:uiPriority w:val="99"/>
    <w:rsid w:val="007F522E"/>
    <w:rPr>
      <w:rFonts w:ascii="Arial" w:eastAsia="Calibri" w:hAnsi="Arial"/>
      <w:sz w:val="21"/>
      <w:szCs w:val="21"/>
      <w:lang w:eastAsia="en-US"/>
    </w:rPr>
  </w:style>
  <w:style w:type="paragraph" w:styleId="BodyText2">
    <w:name w:val="Body Text 2"/>
    <w:basedOn w:val="Normal"/>
    <w:link w:val="BodyText2Char"/>
    <w:rsid w:val="0096640A"/>
    <w:pPr>
      <w:spacing w:after="120" w:line="480" w:lineRule="auto"/>
    </w:pPr>
    <w:rPr>
      <w:sz w:val="20"/>
      <w:szCs w:val="20"/>
    </w:rPr>
  </w:style>
  <w:style w:type="character" w:customStyle="1" w:styleId="BodyText2Char">
    <w:name w:val="Body Text 2 Char"/>
    <w:basedOn w:val="DefaultParagraphFont"/>
    <w:link w:val="BodyText2"/>
    <w:rsid w:val="0096640A"/>
    <w:rPr>
      <w:rFonts w:ascii="Times New Roman" w:eastAsia="Times New Roman" w:hAnsi="Times New Roman"/>
      <w:lang w:val="en-US" w:eastAsia="en-US"/>
    </w:rPr>
  </w:style>
  <w:style w:type="character" w:customStyle="1" w:styleId="Heading5Char">
    <w:name w:val="Heading 5 Char"/>
    <w:basedOn w:val="DefaultParagraphFont"/>
    <w:link w:val="Heading5"/>
    <w:rsid w:val="00A277A6"/>
    <w:rPr>
      <w:rFonts w:ascii="Times New Roman" w:hAnsi="Times New Roman"/>
      <w:bCs/>
      <w:iCs/>
      <w:sz w:val="26"/>
      <w:szCs w:val="26"/>
      <w:lang w:eastAsia="zh-CN"/>
    </w:rPr>
  </w:style>
  <w:style w:type="character" w:styleId="CommentReference">
    <w:name w:val="annotation reference"/>
    <w:basedOn w:val="DefaultParagraphFont"/>
    <w:uiPriority w:val="99"/>
    <w:semiHidden/>
    <w:rsid w:val="00A277A6"/>
    <w:rPr>
      <w:sz w:val="16"/>
      <w:szCs w:val="16"/>
    </w:rPr>
  </w:style>
  <w:style w:type="paragraph" w:styleId="CommentText">
    <w:name w:val="annotation text"/>
    <w:basedOn w:val="Normal"/>
    <w:link w:val="CommentTextChar"/>
    <w:uiPriority w:val="99"/>
    <w:rsid w:val="00A277A6"/>
    <w:rPr>
      <w:sz w:val="20"/>
      <w:szCs w:val="20"/>
    </w:rPr>
  </w:style>
  <w:style w:type="character" w:customStyle="1" w:styleId="CommentTextChar">
    <w:name w:val="Comment Text Char"/>
    <w:basedOn w:val="DefaultParagraphFont"/>
    <w:link w:val="CommentText"/>
    <w:uiPriority w:val="99"/>
    <w:rsid w:val="00A277A6"/>
    <w:rPr>
      <w:rFonts w:ascii="Times New Roman" w:eastAsia="Times New Roman" w:hAnsi="Times New Roman"/>
      <w:lang w:val="en-US" w:eastAsia="en-US"/>
    </w:rPr>
  </w:style>
  <w:style w:type="paragraph" w:customStyle="1" w:styleId="DefaultParagraphFontParaCharCharChar">
    <w:name w:val="Default Paragraph Font Para Char Char Char"/>
    <w:basedOn w:val="Normal"/>
    <w:rsid w:val="00A277A6"/>
    <w:pPr>
      <w:spacing w:after="160" w:line="240" w:lineRule="exact"/>
    </w:pPr>
    <w:rPr>
      <w:rFonts w:ascii="Verdana" w:hAnsi="Verdana"/>
      <w:sz w:val="20"/>
      <w:szCs w:val="20"/>
    </w:rPr>
  </w:style>
  <w:style w:type="paragraph" w:customStyle="1" w:styleId="SLName">
    <w:name w:val="SLName"/>
    <w:basedOn w:val="Normal"/>
    <w:rsid w:val="001562A0"/>
    <w:pPr>
      <w:keepNext/>
      <w:keepLines/>
      <w:spacing w:before="120"/>
      <w:jc w:val="center"/>
    </w:pPr>
    <w:rPr>
      <w:caps/>
      <w:sz w:val="26"/>
      <w:szCs w:val="20"/>
      <w:lang w:val="en-GB"/>
    </w:rPr>
  </w:style>
  <w:style w:type="paragraph" w:styleId="CommentSubject">
    <w:name w:val="annotation subject"/>
    <w:basedOn w:val="CommentText"/>
    <w:next w:val="CommentText"/>
    <w:link w:val="CommentSubjectChar"/>
    <w:uiPriority w:val="99"/>
    <w:semiHidden/>
    <w:unhideWhenUsed/>
    <w:rsid w:val="001562A0"/>
    <w:rPr>
      <w:b/>
      <w:bCs/>
    </w:rPr>
  </w:style>
  <w:style w:type="character" w:customStyle="1" w:styleId="CommentSubjectChar">
    <w:name w:val="Comment Subject Char"/>
    <w:basedOn w:val="CommentTextChar"/>
    <w:link w:val="CommentSubject"/>
    <w:uiPriority w:val="99"/>
    <w:semiHidden/>
    <w:rsid w:val="001562A0"/>
    <w:rPr>
      <w:rFonts w:ascii="Times New Roman" w:eastAsia="Times New Roman" w:hAnsi="Times New Roman"/>
      <w:b/>
      <w:bCs/>
      <w:lang w:val="en-US" w:eastAsia="en-US"/>
    </w:rPr>
  </w:style>
  <w:style w:type="character" w:styleId="Hyperlink">
    <w:name w:val="Hyperlink"/>
    <w:basedOn w:val="DefaultParagraphFont"/>
    <w:uiPriority w:val="99"/>
    <w:unhideWhenUsed/>
    <w:rsid w:val="002114C1"/>
    <w:rPr>
      <w:color w:val="0000FF"/>
      <w:u w:val="single"/>
    </w:rPr>
  </w:style>
  <w:style w:type="character" w:customStyle="1" w:styleId="Heading2Char">
    <w:name w:val="Heading 2 Char"/>
    <w:basedOn w:val="DefaultParagraphFont"/>
    <w:link w:val="Heading2"/>
    <w:rsid w:val="00121C31"/>
    <w:rPr>
      <w:rFonts w:ascii="Cambria" w:eastAsia="SimSun" w:hAnsi="Cambria" w:cs="Times New Roman"/>
      <w:b/>
      <w:bCs/>
      <w:i/>
      <w:iCs/>
      <w:sz w:val="28"/>
      <w:szCs w:val="28"/>
      <w:lang w:val="en-US" w:eastAsia="en-US"/>
    </w:rPr>
  </w:style>
  <w:style w:type="character" w:customStyle="1" w:styleId="Heading1Char">
    <w:name w:val="Heading 1 Char"/>
    <w:basedOn w:val="DefaultParagraphFont"/>
    <w:link w:val="Heading1"/>
    <w:rsid w:val="009B17D0"/>
    <w:rPr>
      <w:rFonts w:ascii="Cambria" w:eastAsia="SimSun" w:hAnsi="Cambria" w:cs="Times New Roman"/>
      <w:b/>
      <w:bCs/>
      <w:kern w:val="32"/>
      <w:sz w:val="32"/>
      <w:szCs w:val="32"/>
      <w:lang w:val="en-US" w:eastAsia="en-US"/>
    </w:rPr>
  </w:style>
  <w:style w:type="character" w:customStyle="1" w:styleId="Heading8Char">
    <w:name w:val="Heading 8 Char"/>
    <w:basedOn w:val="DefaultParagraphFont"/>
    <w:link w:val="Heading8"/>
    <w:rsid w:val="00796F41"/>
    <w:rPr>
      <w:rFonts w:ascii="Calibri" w:eastAsia="SimSun" w:hAnsi="Calibri" w:cs="Times New Roman"/>
      <w:i/>
      <w:iCs/>
      <w:sz w:val="24"/>
      <w:szCs w:val="24"/>
      <w:lang w:val="en-US" w:eastAsia="en-US"/>
    </w:rPr>
  </w:style>
  <w:style w:type="character" w:customStyle="1" w:styleId="Heading3Char">
    <w:name w:val="Heading 3 Char"/>
    <w:basedOn w:val="DefaultParagraphFont"/>
    <w:link w:val="Heading3"/>
    <w:rsid w:val="00086B65"/>
    <w:rPr>
      <w:rFonts w:ascii="Cambria" w:eastAsia="SimSun" w:hAnsi="Cambria" w:cs="Times New Roman"/>
      <w:b/>
      <w:bCs/>
      <w:sz w:val="26"/>
      <w:szCs w:val="26"/>
      <w:lang w:val="en-US" w:eastAsia="en-US"/>
    </w:rPr>
  </w:style>
  <w:style w:type="paragraph" w:styleId="NormalWeb">
    <w:name w:val="Normal (Web)"/>
    <w:basedOn w:val="Normal"/>
    <w:uiPriority w:val="99"/>
    <w:unhideWhenUsed/>
    <w:rsid w:val="0086438F"/>
    <w:pPr>
      <w:spacing w:before="100" w:beforeAutospacing="1" w:after="100" w:afterAutospacing="1"/>
    </w:pPr>
    <w:rPr>
      <w:rFonts w:eastAsia="Calibri"/>
      <w:lang w:val="en-SG" w:eastAsia="en-SG"/>
    </w:rPr>
  </w:style>
  <w:style w:type="paragraph" w:customStyle="1" w:styleId="Default">
    <w:name w:val="Default"/>
    <w:uiPriority w:val="99"/>
    <w:rsid w:val="006213C0"/>
    <w:pPr>
      <w:autoSpaceDE w:val="0"/>
      <w:autoSpaceDN w:val="0"/>
      <w:adjustRightInd w:val="0"/>
    </w:pPr>
    <w:rPr>
      <w:rFonts w:ascii="Times New Roman" w:hAnsi="Times New Roman"/>
      <w:color w:val="000000"/>
      <w:sz w:val="24"/>
      <w:szCs w:val="24"/>
      <w:lang w:val="en-GB" w:eastAsia="zh-CN"/>
    </w:rPr>
  </w:style>
  <w:style w:type="character" w:customStyle="1" w:styleId="ListParagraphChar">
    <w:name w:val="List Paragraph Char"/>
    <w:aliases w:val="Noise heading Char,RUS List Char,Credits Char,Number abc Char,a List Paragraph Char"/>
    <w:basedOn w:val="DefaultParagraphFont"/>
    <w:link w:val="ListParagraph"/>
    <w:uiPriority w:val="34"/>
    <w:locked/>
    <w:rsid w:val="00F74065"/>
    <w:rPr>
      <w:rFonts w:ascii="Times New Roman" w:eastAsia="Times New Roman" w:hAnsi="Times New Roman"/>
      <w:lang w:val="en-US" w:eastAsia="en-US"/>
    </w:rPr>
  </w:style>
  <w:style w:type="paragraph" w:styleId="Revision">
    <w:name w:val="Revision"/>
    <w:hidden/>
    <w:uiPriority w:val="99"/>
    <w:semiHidden/>
    <w:rsid w:val="009F65A1"/>
    <w:rPr>
      <w:rFonts w:ascii="Times New Roman" w:eastAsia="Times New Roman" w:hAnsi="Times New Roman"/>
      <w:sz w:val="24"/>
      <w:szCs w:val="24"/>
      <w:lang w:val="en-US" w:eastAsia="en-US"/>
    </w:rPr>
  </w:style>
  <w:style w:type="paragraph" w:styleId="Header">
    <w:name w:val="header"/>
    <w:basedOn w:val="Normal"/>
    <w:link w:val="HeaderChar"/>
    <w:uiPriority w:val="99"/>
    <w:semiHidden/>
    <w:unhideWhenUsed/>
    <w:rsid w:val="0006698B"/>
    <w:pPr>
      <w:tabs>
        <w:tab w:val="center" w:pos="4513"/>
        <w:tab w:val="right" w:pos="9026"/>
      </w:tabs>
    </w:pPr>
  </w:style>
  <w:style w:type="character" w:customStyle="1" w:styleId="HeaderChar">
    <w:name w:val="Header Char"/>
    <w:basedOn w:val="DefaultParagraphFont"/>
    <w:link w:val="Header"/>
    <w:uiPriority w:val="99"/>
    <w:semiHidden/>
    <w:rsid w:val="0006698B"/>
    <w:rPr>
      <w:rFonts w:ascii="Times New Roman" w:eastAsia="Times New Roman" w:hAnsi="Times New Roman"/>
      <w:sz w:val="24"/>
      <w:szCs w:val="24"/>
      <w:lang w:val="en-US" w:eastAsia="en-US"/>
    </w:rPr>
  </w:style>
  <w:style w:type="character" w:styleId="Emphasis">
    <w:name w:val="Emphasis"/>
    <w:basedOn w:val="DefaultParagraphFont"/>
    <w:uiPriority w:val="20"/>
    <w:qFormat/>
    <w:rsid w:val="00821292"/>
    <w:rPr>
      <w:i/>
      <w:iCs/>
    </w:rPr>
  </w:style>
  <w:style w:type="paragraph" w:customStyle="1" w:styleId="PMAns">
    <w:name w:val="PM Ans"/>
    <w:basedOn w:val="Normal"/>
    <w:link w:val="PMAnsChar"/>
    <w:qFormat/>
    <w:rsid w:val="00D32ECA"/>
    <w:pPr>
      <w:spacing w:before="120" w:after="240" w:line="276" w:lineRule="auto"/>
      <w:jc w:val="both"/>
    </w:pPr>
    <w:rPr>
      <w:rFonts w:eastAsia="SimSun"/>
      <w:sz w:val="26"/>
      <w:szCs w:val="26"/>
    </w:rPr>
  </w:style>
  <w:style w:type="character" w:customStyle="1" w:styleId="PMAnsChar">
    <w:name w:val="PM Ans Char"/>
    <w:basedOn w:val="DefaultParagraphFont"/>
    <w:link w:val="PMAns"/>
    <w:rsid w:val="00D32ECA"/>
    <w:rPr>
      <w:rFonts w:ascii="Times New Roman" w:hAnsi="Times New Roman"/>
      <w:sz w:val="26"/>
      <w:szCs w:val="26"/>
      <w:lang w:val="en-US" w:eastAsia="en-US"/>
    </w:rPr>
  </w:style>
  <w:style w:type="character" w:customStyle="1" w:styleId="ExpSectionText1Char">
    <w:name w:val="ExpSectionText(1) Char"/>
    <w:basedOn w:val="DefaultParagraphFont"/>
    <w:link w:val="ExpSectionText1"/>
    <w:rsid w:val="000044DA"/>
    <w:rPr>
      <w:rFonts w:ascii="Times New Roman" w:eastAsia="Times New Roman" w:hAnsi="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44750">
      <w:bodyDiv w:val="1"/>
      <w:marLeft w:val="0"/>
      <w:marRight w:val="0"/>
      <w:marTop w:val="0"/>
      <w:marBottom w:val="0"/>
      <w:divBdr>
        <w:top w:val="none" w:sz="0" w:space="0" w:color="auto"/>
        <w:left w:val="none" w:sz="0" w:space="0" w:color="auto"/>
        <w:bottom w:val="none" w:sz="0" w:space="0" w:color="auto"/>
        <w:right w:val="none" w:sz="0" w:space="0" w:color="auto"/>
      </w:divBdr>
    </w:div>
    <w:div w:id="264312599">
      <w:bodyDiv w:val="1"/>
      <w:marLeft w:val="0"/>
      <w:marRight w:val="0"/>
      <w:marTop w:val="0"/>
      <w:marBottom w:val="0"/>
      <w:divBdr>
        <w:top w:val="none" w:sz="0" w:space="0" w:color="auto"/>
        <w:left w:val="none" w:sz="0" w:space="0" w:color="auto"/>
        <w:bottom w:val="none" w:sz="0" w:space="0" w:color="auto"/>
        <w:right w:val="none" w:sz="0" w:space="0" w:color="auto"/>
      </w:divBdr>
    </w:div>
    <w:div w:id="376511205">
      <w:bodyDiv w:val="1"/>
      <w:marLeft w:val="0"/>
      <w:marRight w:val="0"/>
      <w:marTop w:val="0"/>
      <w:marBottom w:val="0"/>
      <w:divBdr>
        <w:top w:val="none" w:sz="0" w:space="0" w:color="auto"/>
        <w:left w:val="none" w:sz="0" w:space="0" w:color="auto"/>
        <w:bottom w:val="none" w:sz="0" w:space="0" w:color="auto"/>
        <w:right w:val="none" w:sz="0" w:space="0" w:color="auto"/>
      </w:divBdr>
      <w:divsChild>
        <w:div w:id="144511178">
          <w:marLeft w:val="0"/>
          <w:marRight w:val="0"/>
          <w:marTop w:val="0"/>
          <w:marBottom w:val="0"/>
          <w:divBdr>
            <w:top w:val="none" w:sz="0" w:space="0" w:color="auto"/>
            <w:left w:val="none" w:sz="0" w:space="0" w:color="auto"/>
            <w:bottom w:val="none" w:sz="0" w:space="0" w:color="auto"/>
            <w:right w:val="none" w:sz="0" w:space="0" w:color="auto"/>
          </w:divBdr>
          <w:divsChild>
            <w:div w:id="3840554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94095318">
      <w:bodyDiv w:val="1"/>
      <w:marLeft w:val="0"/>
      <w:marRight w:val="0"/>
      <w:marTop w:val="0"/>
      <w:marBottom w:val="0"/>
      <w:divBdr>
        <w:top w:val="none" w:sz="0" w:space="0" w:color="auto"/>
        <w:left w:val="none" w:sz="0" w:space="0" w:color="auto"/>
        <w:bottom w:val="none" w:sz="0" w:space="0" w:color="auto"/>
        <w:right w:val="none" w:sz="0" w:space="0" w:color="auto"/>
      </w:divBdr>
    </w:div>
    <w:div w:id="823811632">
      <w:bodyDiv w:val="1"/>
      <w:marLeft w:val="0"/>
      <w:marRight w:val="0"/>
      <w:marTop w:val="0"/>
      <w:marBottom w:val="0"/>
      <w:divBdr>
        <w:top w:val="none" w:sz="0" w:space="0" w:color="auto"/>
        <w:left w:val="none" w:sz="0" w:space="0" w:color="auto"/>
        <w:bottom w:val="none" w:sz="0" w:space="0" w:color="auto"/>
        <w:right w:val="none" w:sz="0" w:space="0" w:color="auto"/>
      </w:divBdr>
    </w:div>
    <w:div w:id="921571491">
      <w:bodyDiv w:val="1"/>
      <w:marLeft w:val="0"/>
      <w:marRight w:val="0"/>
      <w:marTop w:val="0"/>
      <w:marBottom w:val="0"/>
      <w:divBdr>
        <w:top w:val="none" w:sz="0" w:space="0" w:color="auto"/>
        <w:left w:val="none" w:sz="0" w:space="0" w:color="auto"/>
        <w:bottom w:val="none" w:sz="0" w:space="0" w:color="auto"/>
        <w:right w:val="none" w:sz="0" w:space="0" w:color="auto"/>
      </w:divBdr>
    </w:div>
    <w:div w:id="1306471806">
      <w:bodyDiv w:val="1"/>
      <w:marLeft w:val="0"/>
      <w:marRight w:val="0"/>
      <w:marTop w:val="0"/>
      <w:marBottom w:val="0"/>
      <w:divBdr>
        <w:top w:val="none" w:sz="0" w:space="0" w:color="auto"/>
        <w:left w:val="none" w:sz="0" w:space="0" w:color="auto"/>
        <w:bottom w:val="none" w:sz="0" w:space="0" w:color="auto"/>
        <w:right w:val="none" w:sz="0" w:space="0" w:color="auto"/>
      </w:divBdr>
    </w:div>
    <w:div w:id="1408068584">
      <w:bodyDiv w:val="1"/>
      <w:marLeft w:val="0"/>
      <w:marRight w:val="0"/>
      <w:marTop w:val="0"/>
      <w:marBottom w:val="0"/>
      <w:divBdr>
        <w:top w:val="none" w:sz="0" w:space="0" w:color="auto"/>
        <w:left w:val="none" w:sz="0" w:space="0" w:color="auto"/>
        <w:bottom w:val="none" w:sz="0" w:space="0" w:color="auto"/>
        <w:right w:val="none" w:sz="0" w:space="0" w:color="auto"/>
      </w:divBdr>
    </w:div>
    <w:div w:id="1621381346">
      <w:bodyDiv w:val="1"/>
      <w:marLeft w:val="0"/>
      <w:marRight w:val="0"/>
      <w:marTop w:val="0"/>
      <w:marBottom w:val="0"/>
      <w:divBdr>
        <w:top w:val="none" w:sz="0" w:space="0" w:color="auto"/>
        <w:left w:val="none" w:sz="0" w:space="0" w:color="auto"/>
        <w:bottom w:val="none" w:sz="0" w:space="0" w:color="auto"/>
        <w:right w:val="none" w:sz="0" w:space="0" w:color="auto"/>
      </w:divBdr>
    </w:div>
    <w:div w:id="1662466150">
      <w:bodyDiv w:val="1"/>
      <w:marLeft w:val="0"/>
      <w:marRight w:val="0"/>
      <w:marTop w:val="0"/>
      <w:marBottom w:val="0"/>
      <w:divBdr>
        <w:top w:val="none" w:sz="0" w:space="0" w:color="auto"/>
        <w:left w:val="none" w:sz="0" w:space="0" w:color="auto"/>
        <w:bottom w:val="none" w:sz="0" w:space="0" w:color="auto"/>
        <w:right w:val="none" w:sz="0" w:space="0" w:color="auto"/>
      </w:divBdr>
    </w:div>
    <w:div w:id="1699617517">
      <w:bodyDiv w:val="1"/>
      <w:marLeft w:val="0"/>
      <w:marRight w:val="0"/>
      <w:marTop w:val="0"/>
      <w:marBottom w:val="0"/>
      <w:divBdr>
        <w:top w:val="none" w:sz="0" w:space="0" w:color="auto"/>
        <w:left w:val="none" w:sz="0" w:space="0" w:color="auto"/>
        <w:bottom w:val="none" w:sz="0" w:space="0" w:color="auto"/>
        <w:right w:val="none" w:sz="0" w:space="0" w:color="auto"/>
      </w:divBdr>
    </w:div>
    <w:div w:id="1812288720">
      <w:bodyDiv w:val="1"/>
      <w:marLeft w:val="0"/>
      <w:marRight w:val="0"/>
      <w:marTop w:val="0"/>
      <w:marBottom w:val="0"/>
      <w:divBdr>
        <w:top w:val="none" w:sz="0" w:space="0" w:color="auto"/>
        <w:left w:val="none" w:sz="0" w:space="0" w:color="auto"/>
        <w:bottom w:val="none" w:sz="0" w:space="0" w:color="auto"/>
        <w:right w:val="none" w:sz="0" w:space="0" w:color="auto"/>
      </w:divBdr>
    </w:div>
    <w:div w:id="213872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FDAFEC6B66164787F271A73119E70D" ma:contentTypeVersion="0" ma:contentTypeDescription="Create a new document." ma:contentTypeScope="" ma:versionID="588dfc757ca5a2faf90e701da2391a5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614FD-4BD7-46E9-AF9F-8F330D6EEC37}">
  <ds:schemaRefs>
    <ds:schemaRef ds:uri="http://schemas.microsoft.com/office/2006/metadata/properties"/>
  </ds:schemaRefs>
</ds:datastoreItem>
</file>

<file path=customXml/itemProps2.xml><?xml version="1.0" encoding="utf-8"?>
<ds:datastoreItem xmlns:ds="http://schemas.openxmlformats.org/officeDocument/2006/customXml" ds:itemID="{5EECF40A-BFDB-417E-B8A3-7F3F3409F7C6}">
  <ds:schemaRefs>
    <ds:schemaRef ds:uri="http://schemas.microsoft.com/sharepoint/v3/contenttype/forms"/>
  </ds:schemaRefs>
</ds:datastoreItem>
</file>

<file path=customXml/itemProps3.xml><?xml version="1.0" encoding="utf-8"?>
<ds:datastoreItem xmlns:ds="http://schemas.openxmlformats.org/officeDocument/2006/customXml" ds:itemID="{B75332D8-7B07-4713-A80B-5A30C4E9B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F3E1F71-F640-4A1D-8686-8770F4E9536A}">
  <ds:schemaRefs>
    <ds:schemaRef ds:uri="http://schemas.openxmlformats.org/officeDocument/2006/bibliography"/>
  </ds:schemaRefs>
</ds:datastoreItem>
</file>

<file path=customXml/itemProps5.xml><?xml version="1.0" encoding="utf-8"?>
<ds:datastoreItem xmlns:ds="http://schemas.openxmlformats.org/officeDocument/2006/customXml" ds:itemID="{DDF688C7-DC1E-422F-85A2-473983D0E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SUMMARY TABLE</vt:lpstr>
    </vt:vector>
  </TitlesOfParts>
  <Company>Singapore Government</Company>
  <LinksUpToDate>false</LinksUpToDate>
  <CharactersWithSpaces>13721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TABLE</dc:title>
  <dc:creator>Lei Ping TAN (MOF)</dc:creator>
  <cp:lastModifiedBy>Hnin Nway KHIN from.CSC (MOF)</cp:lastModifiedBy>
  <cp:revision>1</cp:revision>
  <cp:lastPrinted>2015-06-26T05:36:00Z</cp:lastPrinted>
  <dcterms:created xsi:type="dcterms:W3CDTF">2016-07-08T03:38:00Z</dcterms:created>
  <dcterms:modified xsi:type="dcterms:W3CDTF">2016-07-08T03:38:00Z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0x01010007FDAFEC6B66164787F271A73119E70D</vt:lpwstr>
  </property>
</Properties>
</file>