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8B" w:rsidRPr="00350E71" w:rsidRDefault="00B576BB" w:rsidP="003C2160">
      <w:pPr>
        <w:pStyle w:val="BodyText2"/>
        <w:spacing w:after="0" w:line="240" w:lineRule="auto"/>
        <w:jc w:val="center"/>
        <w:rPr>
          <w:b/>
          <w:sz w:val="24"/>
          <w:szCs w:val="24"/>
        </w:rPr>
      </w:pPr>
      <w:r w:rsidRPr="00350E71">
        <w:rPr>
          <w:b/>
          <w:sz w:val="24"/>
          <w:szCs w:val="24"/>
        </w:rPr>
        <w:t xml:space="preserve">SUMMARY TABLE ON CHANGES </w:t>
      </w:r>
      <w:r w:rsidR="005F325F" w:rsidRPr="00350E71">
        <w:rPr>
          <w:b/>
          <w:sz w:val="24"/>
          <w:szCs w:val="24"/>
        </w:rPr>
        <w:t xml:space="preserve">TO THE INCOME TAX ACT </w:t>
      </w:r>
      <w:r w:rsidR="00ED19BB" w:rsidRPr="00350E71">
        <w:rPr>
          <w:b/>
          <w:sz w:val="24"/>
          <w:szCs w:val="24"/>
        </w:rPr>
        <w:t xml:space="preserve">(“ITA”) </w:t>
      </w:r>
      <w:r w:rsidR="005F325F" w:rsidRPr="00350E71">
        <w:rPr>
          <w:b/>
          <w:sz w:val="24"/>
          <w:szCs w:val="24"/>
        </w:rPr>
        <w:t>AS ANNOUNCED IN</w:t>
      </w:r>
      <w:r w:rsidRPr="00350E71">
        <w:rPr>
          <w:b/>
          <w:sz w:val="24"/>
          <w:szCs w:val="24"/>
        </w:rPr>
        <w:t xml:space="preserve"> </w:t>
      </w:r>
    </w:p>
    <w:p w:rsidR="00B576BB" w:rsidRPr="00350E71" w:rsidRDefault="00B576BB" w:rsidP="003C2160">
      <w:pPr>
        <w:pStyle w:val="BodyText2"/>
        <w:spacing w:after="0" w:line="240" w:lineRule="auto"/>
        <w:jc w:val="center"/>
        <w:rPr>
          <w:b/>
          <w:sz w:val="24"/>
          <w:szCs w:val="24"/>
        </w:rPr>
      </w:pPr>
      <w:r w:rsidRPr="00350E71">
        <w:rPr>
          <w:b/>
          <w:sz w:val="24"/>
          <w:szCs w:val="24"/>
        </w:rPr>
        <w:t>BUDGET 201</w:t>
      </w:r>
      <w:r w:rsidR="00F453D9" w:rsidRPr="00350E71">
        <w:rPr>
          <w:b/>
          <w:sz w:val="24"/>
          <w:szCs w:val="24"/>
        </w:rPr>
        <w:t>6</w:t>
      </w:r>
      <w:r w:rsidRPr="00350E71">
        <w:rPr>
          <w:b/>
          <w:sz w:val="24"/>
          <w:szCs w:val="24"/>
        </w:rPr>
        <w:t xml:space="preserve"> </w:t>
      </w:r>
      <w:r w:rsidR="00833D13" w:rsidRPr="00350E71">
        <w:rPr>
          <w:b/>
          <w:sz w:val="24"/>
          <w:szCs w:val="24"/>
        </w:rPr>
        <w:t>STATEMENT</w:t>
      </w:r>
    </w:p>
    <w:p w:rsidR="007F1B02" w:rsidRPr="00350E71" w:rsidRDefault="007F1B02" w:rsidP="007F1B0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260"/>
        <w:gridCol w:w="7089"/>
        <w:gridCol w:w="2011"/>
      </w:tblGrid>
      <w:tr w:rsidR="00DF37E7" w:rsidRPr="00350E71" w:rsidTr="000A0BB8">
        <w:trPr>
          <w:tblHeader/>
          <w:jc w:val="center"/>
        </w:trPr>
        <w:tc>
          <w:tcPr>
            <w:tcW w:w="310" w:type="pct"/>
            <w:shd w:val="clear" w:color="auto" w:fill="E5DFEC" w:themeFill="accent4" w:themeFillTint="33"/>
          </w:tcPr>
          <w:p w:rsidR="00DF37E7" w:rsidRPr="00350E71" w:rsidRDefault="002C5544" w:rsidP="00ED50EB">
            <w:pPr>
              <w:rPr>
                <w:b/>
              </w:rPr>
            </w:pPr>
            <w:r w:rsidRPr="00350E71">
              <w:rPr>
                <w:b/>
              </w:rPr>
              <w:t>S/N</w:t>
            </w:r>
            <w:r w:rsidR="00DF37E7" w:rsidRPr="00350E71">
              <w:rPr>
                <w:b/>
              </w:rPr>
              <w:t>.</w:t>
            </w:r>
          </w:p>
        </w:tc>
        <w:tc>
          <w:tcPr>
            <w:tcW w:w="1237" w:type="pct"/>
            <w:shd w:val="clear" w:color="auto" w:fill="E5DFEC" w:themeFill="accent4" w:themeFillTint="33"/>
          </w:tcPr>
          <w:p w:rsidR="00DF37E7" w:rsidRPr="00350E71" w:rsidRDefault="00DF37E7" w:rsidP="00833D13">
            <w:pPr>
              <w:rPr>
                <w:b/>
              </w:rPr>
            </w:pPr>
            <w:r w:rsidRPr="00350E71">
              <w:rPr>
                <w:b/>
              </w:rPr>
              <w:t>Legislative Change</w:t>
            </w:r>
          </w:p>
        </w:tc>
        <w:tc>
          <w:tcPr>
            <w:tcW w:w="2690" w:type="pct"/>
            <w:shd w:val="clear" w:color="auto" w:fill="E5DFEC" w:themeFill="accent4" w:themeFillTint="33"/>
          </w:tcPr>
          <w:p w:rsidR="00DF37E7" w:rsidRPr="00350E71" w:rsidRDefault="00DF37E7" w:rsidP="00833D13">
            <w:pPr>
              <w:rPr>
                <w:b/>
              </w:rPr>
            </w:pPr>
            <w:r w:rsidRPr="00350E71">
              <w:rPr>
                <w:b/>
              </w:rPr>
              <w:t>Brief Description of Legislative Change</w:t>
            </w:r>
          </w:p>
          <w:p w:rsidR="00DF37E7" w:rsidRPr="00350E71" w:rsidRDefault="00DF37E7" w:rsidP="00833D13">
            <w:pPr>
              <w:rPr>
                <w:b/>
              </w:rPr>
            </w:pPr>
          </w:p>
        </w:tc>
        <w:tc>
          <w:tcPr>
            <w:tcW w:w="763" w:type="pct"/>
            <w:shd w:val="clear" w:color="auto" w:fill="E5DFEC" w:themeFill="accent4" w:themeFillTint="33"/>
          </w:tcPr>
          <w:p w:rsidR="00DF37E7" w:rsidRPr="00350E71" w:rsidRDefault="00DF37E7" w:rsidP="00ED50EB">
            <w:pPr>
              <w:rPr>
                <w:b/>
              </w:rPr>
            </w:pPr>
            <w:r w:rsidRPr="00350E71">
              <w:rPr>
                <w:b/>
              </w:rPr>
              <w:t>Amendment to Income Tax Act</w:t>
            </w:r>
          </w:p>
          <w:p w:rsidR="00925B80" w:rsidRPr="00350E71" w:rsidRDefault="00925B80" w:rsidP="00ED50EB">
            <w:pPr>
              <w:rPr>
                <w:b/>
              </w:rPr>
            </w:pPr>
            <w:r w:rsidRPr="00350E71">
              <w:rPr>
                <w:b/>
              </w:rPr>
              <w:t>[Clause in Income Tax (Amendment</w:t>
            </w:r>
            <w:r w:rsidR="002C5544" w:rsidRPr="00350E71">
              <w:rPr>
                <w:b/>
              </w:rPr>
              <w:t>)</w:t>
            </w:r>
            <w:r w:rsidR="00D9360F" w:rsidRPr="00350E71">
              <w:rPr>
                <w:b/>
              </w:rPr>
              <w:t xml:space="preserve"> </w:t>
            </w:r>
            <w:r w:rsidR="002C5544" w:rsidRPr="00350E71">
              <w:rPr>
                <w:b/>
              </w:rPr>
              <w:t>(</w:t>
            </w:r>
            <w:r w:rsidR="00D9360F" w:rsidRPr="00350E71">
              <w:rPr>
                <w:b/>
              </w:rPr>
              <w:t>No. 3</w:t>
            </w:r>
            <w:r w:rsidRPr="00350E71">
              <w:rPr>
                <w:b/>
              </w:rPr>
              <w:t>) Bill</w:t>
            </w:r>
            <w:r w:rsidR="003D5DF2" w:rsidRPr="00350E71">
              <w:rPr>
                <w:b/>
              </w:rPr>
              <w:t xml:space="preserve"> 2016</w:t>
            </w:r>
            <w:r w:rsidRPr="00350E71">
              <w:rPr>
                <w:b/>
              </w:rPr>
              <w:t>]</w:t>
            </w:r>
          </w:p>
          <w:p w:rsidR="00DF37E7" w:rsidRPr="00350E71" w:rsidRDefault="00DF37E7" w:rsidP="00ED50EB">
            <w:pPr>
              <w:rPr>
                <w:b/>
              </w:rPr>
            </w:pPr>
          </w:p>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 xml:space="preserve">Enhance the Corporate Income Tax (“CIT”) Rebate for Year of Assessment (“YA”) 2016 and YA 2017 </w:t>
            </w:r>
          </w:p>
          <w:p w:rsidR="00F453D9" w:rsidRPr="00350E71" w:rsidRDefault="00F453D9" w:rsidP="00001C9D"/>
        </w:tc>
        <w:tc>
          <w:tcPr>
            <w:tcW w:w="2690" w:type="pct"/>
          </w:tcPr>
          <w:p w:rsidR="00F453D9" w:rsidRPr="00350E71" w:rsidRDefault="00F453D9" w:rsidP="00340F1E">
            <w:pPr>
              <w:pStyle w:val="PMAns"/>
              <w:spacing w:before="0" w:after="0" w:line="240" w:lineRule="auto"/>
              <w:rPr>
                <w:sz w:val="24"/>
                <w:szCs w:val="24"/>
              </w:rPr>
            </w:pPr>
            <w:r w:rsidRPr="00350E71">
              <w:rPr>
                <w:sz w:val="24"/>
                <w:szCs w:val="24"/>
              </w:rPr>
              <w:t xml:space="preserve">To help companies, especially Small and Medium Enterprises (“SMEs”), the CIT rebate will be raised to 50% </w:t>
            </w:r>
            <w:r w:rsidR="008F50F1" w:rsidRPr="00350E71">
              <w:rPr>
                <w:sz w:val="24"/>
                <w:szCs w:val="24"/>
              </w:rPr>
              <w:t xml:space="preserve">of the corporate tax payable </w:t>
            </w:r>
            <w:r w:rsidRPr="00350E71">
              <w:rPr>
                <w:sz w:val="24"/>
                <w:szCs w:val="24"/>
              </w:rPr>
              <w:t xml:space="preserve">for YA 2016 and YA 2017, subject to a cap of $20,000 per YA. </w:t>
            </w:r>
          </w:p>
        </w:tc>
        <w:tc>
          <w:tcPr>
            <w:tcW w:w="763" w:type="pct"/>
          </w:tcPr>
          <w:p w:rsidR="00F453D9" w:rsidRPr="00350E71" w:rsidRDefault="00F453D9" w:rsidP="001A5FA4">
            <w:r w:rsidRPr="00350E71">
              <w:t>Section 92E</w:t>
            </w:r>
          </w:p>
          <w:p w:rsidR="00F453D9" w:rsidRPr="00350E71" w:rsidRDefault="00F453D9" w:rsidP="00FE01A1">
            <w:r w:rsidRPr="00350E71">
              <w:t xml:space="preserve">[Clause </w:t>
            </w:r>
            <w:r w:rsidR="00FE01A1" w:rsidRPr="00350E71">
              <w:t>51</w:t>
            </w:r>
            <w:r w:rsidRPr="00350E71">
              <w:t>]</w:t>
            </w:r>
          </w:p>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Enhance the Mergers &amp; Acquisitions (“M&amp;A”) scheme</w:t>
            </w:r>
          </w:p>
          <w:p w:rsidR="00F453D9" w:rsidRPr="00350E71" w:rsidRDefault="00F453D9" w:rsidP="00001C9D"/>
        </w:tc>
        <w:tc>
          <w:tcPr>
            <w:tcW w:w="2690" w:type="pct"/>
          </w:tcPr>
          <w:p w:rsidR="00F453D9" w:rsidRPr="00350E71" w:rsidRDefault="00F453D9" w:rsidP="00C94936">
            <w:pPr>
              <w:pStyle w:val="PMAns"/>
              <w:spacing w:before="0" w:after="0" w:line="240" w:lineRule="auto"/>
              <w:rPr>
                <w:sz w:val="24"/>
                <w:szCs w:val="24"/>
              </w:rPr>
            </w:pPr>
            <w:r w:rsidRPr="00350E71">
              <w:rPr>
                <w:sz w:val="24"/>
                <w:szCs w:val="24"/>
              </w:rPr>
              <w:t>To support more M&amp;A, the existing cap on the consideration paid for qualifying M&amp;A deals will be doubled from $20 million to $40 million per YA. The change will take effect for qualifying M&amp;A deals from 1 April 2016 to 31 March 2020.</w:t>
            </w:r>
          </w:p>
          <w:p w:rsidR="00F453D9" w:rsidRPr="00350E71" w:rsidRDefault="00F453D9" w:rsidP="00057396">
            <w:pPr>
              <w:pStyle w:val="PMAns"/>
              <w:spacing w:before="0" w:after="0" w:line="240" w:lineRule="auto"/>
              <w:rPr>
                <w:sz w:val="24"/>
                <w:szCs w:val="24"/>
              </w:rPr>
            </w:pPr>
          </w:p>
          <w:p w:rsidR="007C71BC" w:rsidRPr="00350E71" w:rsidRDefault="007C71BC" w:rsidP="007C71BC">
            <w:pPr>
              <w:pStyle w:val="PMAns"/>
              <w:spacing w:before="0" w:after="0" w:line="240" w:lineRule="auto"/>
              <w:rPr>
                <w:sz w:val="24"/>
                <w:szCs w:val="24"/>
              </w:rPr>
            </w:pPr>
            <w:r w:rsidRPr="00350E71">
              <w:rPr>
                <w:sz w:val="24"/>
                <w:szCs w:val="24"/>
              </w:rPr>
              <w:t xml:space="preserve">With the increase in the cap on the value of qualifying acquisitions from $20 million to $40 million, the total amount of stamp duty relief available under the M&amp;A scheme will correspondingly be increased from $40,000 to $80,000. A consequential amendment will be made to </w:t>
            </w:r>
            <w:r w:rsidR="003D5DF2" w:rsidRPr="00350E71">
              <w:rPr>
                <w:sz w:val="24"/>
                <w:szCs w:val="24"/>
              </w:rPr>
              <w:t xml:space="preserve">Section </w:t>
            </w:r>
            <w:r w:rsidRPr="00350E71">
              <w:rPr>
                <w:sz w:val="24"/>
                <w:szCs w:val="24"/>
              </w:rPr>
              <w:t>15A of the Stamp Duties Act to provide for this change.</w:t>
            </w:r>
          </w:p>
          <w:p w:rsidR="007C71BC" w:rsidRPr="00350E71" w:rsidRDefault="007C71BC" w:rsidP="00057396">
            <w:pPr>
              <w:pStyle w:val="PMAns"/>
              <w:spacing w:before="0" w:after="0" w:line="240" w:lineRule="auto"/>
              <w:rPr>
                <w:sz w:val="24"/>
                <w:szCs w:val="24"/>
              </w:rPr>
            </w:pPr>
          </w:p>
        </w:tc>
        <w:tc>
          <w:tcPr>
            <w:tcW w:w="763" w:type="pct"/>
          </w:tcPr>
          <w:p w:rsidR="00F453D9" w:rsidRPr="00350E71" w:rsidRDefault="00F453D9" w:rsidP="00001C9D">
            <w:r w:rsidRPr="00350E71">
              <w:t>Section 37L</w:t>
            </w:r>
          </w:p>
          <w:p w:rsidR="002673B0" w:rsidRPr="00350E71" w:rsidRDefault="00F453D9" w:rsidP="00001C9D">
            <w:r w:rsidRPr="00350E71">
              <w:t xml:space="preserve">[Clause </w:t>
            </w:r>
            <w:r w:rsidR="00FE01A1" w:rsidRPr="00350E71">
              <w:t>23</w:t>
            </w:r>
            <w:r w:rsidRPr="00350E71">
              <w:t>]</w:t>
            </w:r>
          </w:p>
          <w:p w:rsidR="002673B0" w:rsidRPr="00350E71" w:rsidRDefault="002673B0" w:rsidP="00001C9D"/>
          <w:p w:rsidR="002673B0" w:rsidRPr="00350E71" w:rsidRDefault="002673B0" w:rsidP="00001C9D"/>
          <w:p w:rsidR="00F453D9" w:rsidRPr="00350E71" w:rsidRDefault="00F453D9" w:rsidP="00001C9D">
            <w:r w:rsidRPr="00350E71">
              <w:t>Related amendment</w:t>
            </w:r>
          </w:p>
          <w:p w:rsidR="00F453D9" w:rsidRPr="00350E71" w:rsidRDefault="00F453D9" w:rsidP="00001C9D">
            <w:r w:rsidRPr="00350E71">
              <w:t>to the Stamp Duties Act</w:t>
            </w:r>
          </w:p>
          <w:p w:rsidR="00F453D9" w:rsidRPr="00350E71" w:rsidRDefault="00F453D9" w:rsidP="00001C9D">
            <w:r w:rsidRPr="00350E71">
              <w:t>Section 15A</w:t>
            </w:r>
          </w:p>
          <w:p w:rsidR="00F453D9" w:rsidRPr="00350E71" w:rsidRDefault="00F453D9" w:rsidP="00001C9D">
            <w:r w:rsidRPr="00350E71">
              <w:t xml:space="preserve">[Clause </w:t>
            </w:r>
            <w:r w:rsidR="00FE01A1" w:rsidRPr="00350E71">
              <w:t>62</w:t>
            </w:r>
            <w:r w:rsidRPr="00350E71">
              <w:t>]</w:t>
            </w:r>
          </w:p>
          <w:p w:rsidR="00F453D9" w:rsidRPr="00350E71" w:rsidRDefault="00F453D9" w:rsidP="00001C9D"/>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r w:rsidRPr="00350E71">
              <w:rPr>
                <w:rFonts w:eastAsia="PMingLiU"/>
                <w:b/>
              </w:rPr>
              <w:t>u</w:t>
            </w:r>
          </w:p>
        </w:tc>
        <w:tc>
          <w:tcPr>
            <w:tcW w:w="1237" w:type="pct"/>
            <w:shd w:val="clear" w:color="auto" w:fill="auto"/>
          </w:tcPr>
          <w:p w:rsidR="00F453D9" w:rsidRPr="00350E71" w:rsidRDefault="00F453D9" w:rsidP="00C94936">
            <w:r w:rsidRPr="00350E71">
              <w:t xml:space="preserve">Extend the upfront certainty of non-taxation of companies’ gain on disposal of equity investments </w:t>
            </w:r>
          </w:p>
          <w:p w:rsidR="00F453D9" w:rsidRPr="00350E71" w:rsidRDefault="00F453D9" w:rsidP="00001C9D"/>
        </w:tc>
        <w:tc>
          <w:tcPr>
            <w:tcW w:w="2690" w:type="pct"/>
          </w:tcPr>
          <w:p w:rsidR="00F453D9" w:rsidRPr="00350E71" w:rsidRDefault="00F453D9" w:rsidP="00C94936">
            <w:pPr>
              <w:pStyle w:val="Default"/>
              <w:jc w:val="both"/>
              <w:rPr>
                <w:color w:val="auto"/>
              </w:rPr>
            </w:pPr>
            <w:r w:rsidRPr="00350E71">
              <w:rPr>
                <w:color w:val="auto"/>
              </w:rPr>
              <w:t>To provide upfront certainty to companies in their corporate restructuring, the scheme under Section 13Z will be extended till 31 May 2022 (to cover disposal of equity investments from 1 June 2017 to 31 May 2022).</w:t>
            </w:r>
          </w:p>
          <w:p w:rsidR="00F453D9" w:rsidRPr="00350E71" w:rsidRDefault="00F453D9" w:rsidP="003D7BD6">
            <w:pPr>
              <w:pStyle w:val="Default"/>
              <w:jc w:val="both"/>
              <w:rPr>
                <w:color w:val="auto"/>
              </w:rPr>
            </w:pPr>
          </w:p>
        </w:tc>
        <w:tc>
          <w:tcPr>
            <w:tcW w:w="763" w:type="pct"/>
          </w:tcPr>
          <w:p w:rsidR="00F453D9" w:rsidRPr="00350E71" w:rsidRDefault="00F453D9" w:rsidP="003D7BD6">
            <w:r w:rsidRPr="00350E71">
              <w:t>Section 13Z</w:t>
            </w:r>
          </w:p>
          <w:p w:rsidR="00F453D9" w:rsidRPr="00350E71" w:rsidRDefault="00F453D9" w:rsidP="003D7BD6">
            <w:r w:rsidRPr="00350E71">
              <w:t xml:space="preserve">[Clause </w:t>
            </w:r>
            <w:r w:rsidR="00FE01A1" w:rsidRPr="00350E71">
              <w:t>11</w:t>
            </w:r>
            <w:r w:rsidRPr="00350E71">
              <w:t>]</w:t>
            </w:r>
          </w:p>
          <w:p w:rsidR="00F453D9" w:rsidRPr="00350E71" w:rsidRDefault="00F453D9" w:rsidP="003D7BD6"/>
          <w:p w:rsidR="00F453D9" w:rsidRPr="00350E71" w:rsidRDefault="00F453D9" w:rsidP="00821CB6"/>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001C9D">
            <w:r w:rsidRPr="00350E71">
              <w:t xml:space="preserve">Extend the Double Tax Deduction (“DTD”) for </w:t>
            </w:r>
            <w:proofErr w:type="spellStart"/>
            <w:r w:rsidRPr="00350E71">
              <w:t>Internationalisation</w:t>
            </w:r>
            <w:proofErr w:type="spellEnd"/>
            <w:r w:rsidRPr="00350E71">
              <w:t xml:space="preserve"> scheme</w:t>
            </w:r>
          </w:p>
        </w:tc>
        <w:tc>
          <w:tcPr>
            <w:tcW w:w="2690" w:type="pct"/>
          </w:tcPr>
          <w:p w:rsidR="00F453D9" w:rsidRPr="00350E71" w:rsidRDefault="00F453D9" w:rsidP="00C94936">
            <w:pPr>
              <w:pStyle w:val="Default"/>
              <w:jc w:val="both"/>
              <w:rPr>
                <w:color w:val="auto"/>
              </w:rPr>
            </w:pPr>
            <w:r w:rsidRPr="00350E71">
              <w:rPr>
                <w:color w:val="auto"/>
              </w:rPr>
              <w:t xml:space="preserve">To support businesses in their internationalisation efforts, the DTD for internationalisation scheme will be extended till 31 March 2020. </w:t>
            </w:r>
          </w:p>
          <w:p w:rsidR="00F453D9" w:rsidRPr="00350E71" w:rsidRDefault="00F453D9">
            <w:pPr>
              <w:pStyle w:val="Default"/>
              <w:jc w:val="both"/>
              <w:rPr>
                <w:rFonts w:eastAsia="Times New Roman"/>
                <w:color w:val="auto"/>
                <w:lang w:val="en-SG" w:eastAsia="en-SG"/>
              </w:rPr>
            </w:pPr>
          </w:p>
        </w:tc>
        <w:tc>
          <w:tcPr>
            <w:tcW w:w="763" w:type="pct"/>
          </w:tcPr>
          <w:p w:rsidR="00F453D9" w:rsidRPr="00350E71" w:rsidRDefault="00F453D9" w:rsidP="00483D81">
            <w:r w:rsidRPr="00350E71">
              <w:t>Sections 14B and 14K</w:t>
            </w:r>
          </w:p>
          <w:p w:rsidR="00F453D9" w:rsidRPr="00350E71" w:rsidRDefault="00F453D9" w:rsidP="00483D81">
            <w:r w:rsidRPr="00350E71">
              <w:t>[Clause</w:t>
            </w:r>
            <w:r w:rsidR="00FE01A1" w:rsidRPr="00350E71">
              <w:t>s 13 and 14</w:t>
            </w:r>
            <w:r w:rsidRPr="00350E71">
              <w:t>]</w:t>
            </w:r>
          </w:p>
          <w:p w:rsidR="00F453D9" w:rsidRPr="00350E71" w:rsidRDefault="00F453D9" w:rsidP="00483D81"/>
          <w:p w:rsidR="00F453D9" w:rsidRPr="00350E71" w:rsidRDefault="00F453D9" w:rsidP="00B14F6E"/>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001C9D">
            <w:r w:rsidRPr="00350E71">
              <w:t>Enhance the Land Intensification Allowance</w:t>
            </w:r>
            <w:r w:rsidR="003D5DF2" w:rsidRPr="00350E71">
              <w:t xml:space="preserve"> (“LIA”)</w:t>
            </w:r>
          </w:p>
        </w:tc>
        <w:tc>
          <w:tcPr>
            <w:tcW w:w="2690" w:type="pct"/>
          </w:tcPr>
          <w:p w:rsidR="00F453D9" w:rsidRPr="00350E71" w:rsidRDefault="00F453D9" w:rsidP="00C94936">
            <w:pPr>
              <w:pStyle w:val="Default"/>
              <w:jc w:val="both"/>
              <w:rPr>
                <w:color w:val="auto"/>
              </w:rPr>
            </w:pPr>
            <w:r w:rsidRPr="00350E71">
              <w:rPr>
                <w:color w:val="auto"/>
              </w:rPr>
              <w:t xml:space="preserve">To encourage higher industrial land productivity, the LIA scheme will be extended to buildings used by a user or multiple users who are related, for one or more qualifying trades or business. A new criterion requiring LIA applicants to be related to the qualifying user or users of the building will also be introduced. </w:t>
            </w:r>
          </w:p>
          <w:p w:rsidR="00F453D9" w:rsidRPr="00350E71" w:rsidRDefault="00F453D9" w:rsidP="00C94936">
            <w:pPr>
              <w:pStyle w:val="Default"/>
              <w:jc w:val="both"/>
              <w:rPr>
                <w:color w:val="auto"/>
              </w:rPr>
            </w:pPr>
            <w:r w:rsidRPr="00350E71">
              <w:rPr>
                <w:color w:val="auto"/>
              </w:rPr>
              <w:t>The change is effective from 25 March 2016.</w:t>
            </w:r>
          </w:p>
          <w:p w:rsidR="00F453D9" w:rsidRPr="00350E71" w:rsidRDefault="00F453D9" w:rsidP="00B14F6E">
            <w:pPr>
              <w:pStyle w:val="Default"/>
              <w:jc w:val="both"/>
              <w:rPr>
                <w:color w:val="auto"/>
              </w:rPr>
            </w:pPr>
          </w:p>
        </w:tc>
        <w:tc>
          <w:tcPr>
            <w:tcW w:w="763" w:type="pct"/>
          </w:tcPr>
          <w:p w:rsidR="00F453D9" w:rsidRPr="00350E71" w:rsidRDefault="00900301" w:rsidP="00F453D9">
            <w:r w:rsidRPr="00350E71">
              <w:t>Section</w:t>
            </w:r>
            <w:r w:rsidR="00F453D9" w:rsidRPr="00350E71">
              <w:t xml:space="preserve"> 18C</w:t>
            </w:r>
          </w:p>
          <w:p w:rsidR="00900301" w:rsidRPr="00350E71" w:rsidRDefault="00900301" w:rsidP="00F453D9">
            <w:r w:rsidRPr="00350E71">
              <w:t xml:space="preserve">[Clause </w:t>
            </w:r>
            <w:r w:rsidR="00FE01A1" w:rsidRPr="00350E71">
              <w:t>19</w:t>
            </w:r>
            <w:r w:rsidRPr="00350E71">
              <w:t>]</w:t>
            </w:r>
          </w:p>
          <w:p w:rsidR="00F453D9" w:rsidRPr="00350E71" w:rsidRDefault="00F453D9" w:rsidP="00F70981"/>
          <w:p w:rsidR="00F453D9" w:rsidRPr="00350E71" w:rsidRDefault="00F453D9" w:rsidP="00F453D9"/>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 xml:space="preserve">Provide an election for writing-down period for intellectual property rights (“IPRs”) </w:t>
            </w:r>
          </w:p>
          <w:p w:rsidR="00F453D9" w:rsidRPr="00350E71" w:rsidRDefault="00F453D9" w:rsidP="00821CB6"/>
        </w:tc>
        <w:tc>
          <w:tcPr>
            <w:tcW w:w="2690" w:type="pct"/>
          </w:tcPr>
          <w:p w:rsidR="00F453D9" w:rsidRPr="00350E71" w:rsidRDefault="00F453D9" w:rsidP="00C94936">
            <w:pPr>
              <w:pStyle w:val="Default"/>
              <w:jc w:val="both"/>
              <w:rPr>
                <w:color w:val="auto"/>
              </w:rPr>
            </w:pPr>
            <w:r w:rsidRPr="00350E71">
              <w:rPr>
                <w:color w:val="auto"/>
              </w:rPr>
              <w:t xml:space="preserve">To recognise varying useful lives of IPRs while maintaining a simple and certain tax regime, companies or partnerships may elect for their Section 19B writing down allowance to be </w:t>
            </w:r>
            <w:r w:rsidR="00691E38" w:rsidRPr="00350E71">
              <w:rPr>
                <w:color w:val="auto"/>
              </w:rPr>
              <w:t xml:space="preserve">granted </w:t>
            </w:r>
            <w:r w:rsidRPr="00350E71">
              <w:rPr>
                <w:color w:val="auto"/>
              </w:rPr>
              <w:t>over a writing-down period of 5, 10 or 15 years.</w:t>
            </w:r>
          </w:p>
          <w:p w:rsidR="00F453D9" w:rsidRPr="00350E71" w:rsidRDefault="00F453D9" w:rsidP="00C94936">
            <w:pPr>
              <w:pStyle w:val="Default"/>
              <w:jc w:val="both"/>
              <w:rPr>
                <w:color w:val="auto"/>
              </w:rPr>
            </w:pPr>
          </w:p>
          <w:p w:rsidR="00F453D9" w:rsidRPr="00350E71" w:rsidRDefault="00F453D9" w:rsidP="00001C9D">
            <w:pPr>
              <w:pStyle w:val="Default"/>
              <w:jc w:val="both"/>
              <w:rPr>
                <w:color w:val="auto"/>
              </w:rPr>
            </w:pPr>
            <w:r w:rsidRPr="00350E71">
              <w:rPr>
                <w:color w:val="auto"/>
              </w:rPr>
              <w:t xml:space="preserve">The change will apply to </w:t>
            </w:r>
            <w:r w:rsidR="00691E38" w:rsidRPr="00350E71">
              <w:rPr>
                <w:color w:val="auto"/>
              </w:rPr>
              <w:t xml:space="preserve">capital expenditure incurred in respect of </w:t>
            </w:r>
            <w:r w:rsidRPr="00350E71">
              <w:rPr>
                <w:color w:val="auto"/>
              </w:rPr>
              <w:t xml:space="preserve">qualifying IPR acquisitions made </w:t>
            </w:r>
            <w:r w:rsidR="00691E38" w:rsidRPr="00350E71">
              <w:rPr>
                <w:color w:val="auto"/>
              </w:rPr>
              <w:t xml:space="preserve">during any </w:t>
            </w:r>
            <w:r w:rsidRPr="00350E71">
              <w:rPr>
                <w:color w:val="auto"/>
              </w:rPr>
              <w:t xml:space="preserve">basis period </w:t>
            </w:r>
            <w:r w:rsidR="00691E38" w:rsidRPr="00350E71">
              <w:rPr>
                <w:color w:val="auto"/>
              </w:rPr>
              <w:t xml:space="preserve">relating to </w:t>
            </w:r>
            <w:r w:rsidRPr="00350E71">
              <w:rPr>
                <w:color w:val="auto"/>
              </w:rPr>
              <w:t>YA 2017 to YA 2020.</w:t>
            </w:r>
          </w:p>
          <w:p w:rsidR="000A0BB8" w:rsidRPr="00350E71" w:rsidRDefault="000A0BB8" w:rsidP="00001C9D">
            <w:pPr>
              <w:pStyle w:val="Default"/>
              <w:jc w:val="both"/>
              <w:rPr>
                <w:color w:val="auto"/>
              </w:rPr>
            </w:pPr>
          </w:p>
        </w:tc>
        <w:tc>
          <w:tcPr>
            <w:tcW w:w="763" w:type="pct"/>
          </w:tcPr>
          <w:p w:rsidR="00F453D9" w:rsidRPr="00350E71" w:rsidRDefault="00F453D9" w:rsidP="001F2E23">
            <w:r w:rsidRPr="00350E71">
              <w:t>Section 19B</w:t>
            </w:r>
          </w:p>
          <w:p w:rsidR="00B84AAF" w:rsidRPr="00350E71" w:rsidRDefault="00F453D9" w:rsidP="00B84AAF">
            <w:r w:rsidRPr="00350E71">
              <w:t xml:space="preserve">[Clause </w:t>
            </w:r>
            <w:r w:rsidR="00FE01A1" w:rsidRPr="00350E71">
              <w:t>20</w:t>
            </w:r>
            <w:r w:rsidRPr="00350E71">
              <w:t>]</w:t>
            </w:r>
          </w:p>
          <w:p w:rsidR="00691E38" w:rsidRPr="00350E71" w:rsidRDefault="00691E38" w:rsidP="00B84AAF"/>
          <w:p w:rsidR="00691E38" w:rsidRPr="00350E71" w:rsidRDefault="00691E38" w:rsidP="00691E38">
            <w:r w:rsidRPr="00350E71">
              <w:t>Consequential amendment to Section 37I</w:t>
            </w:r>
          </w:p>
          <w:p w:rsidR="00691E38" w:rsidRPr="00350E71" w:rsidRDefault="00691E38" w:rsidP="00FE01A1">
            <w:r w:rsidRPr="00350E71">
              <w:t xml:space="preserve">[Clause </w:t>
            </w:r>
            <w:r w:rsidR="00FE01A1" w:rsidRPr="00350E71">
              <w:t>22</w:t>
            </w:r>
            <w:r w:rsidRPr="00350E71">
              <w:t>]</w:t>
            </w:r>
          </w:p>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 xml:space="preserve">Introduce </w:t>
            </w:r>
            <w:r w:rsidR="00DB7FC7" w:rsidRPr="00350E71">
              <w:t xml:space="preserve">a specific </w:t>
            </w:r>
            <w:r w:rsidRPr="00350E71">
              <w:t xml:space="preserve">anti-avoidance mechanism for IPR transfers </w:t>
            </w:r>
          </w:p>
          <w:p w:rsidR="00F453D9" w:rsidRPr="00350E71" w:rsidRDefault="00F453D9" w:rsidP="00001C9D"/>
        </w:tc>
        <w:tc>
          <w:tcPr>
            <w:tcW w:w="2690" w:type="pct"/>
          </w:tcPr>
          <w:p w:rsidR="00F453D9" w:rsidRPr="00350E71" w:rsidRDefault="00F453D9" w:rsidP="00C94936">
            <w:pPr>
              <w:pStyle w:val="Default"/>
              <w:jc w:val="both"/>
              <w:rPr>
                <w:color w:val="auto"/>
              </w:rPr>
            </w:pPr>
            <w:r w:rsidRPr="00350E71">
              <w:rPr>
                <w:color w:val="auto"/>
              </w:rPr>
              <w:t xml:space="preserve">To ensure that Section 19B writing down allowances are granted based on transacted values that are reflective of the open market value of an IPR, </w:t>
            </w:r>
            <w:r w:rsidR="00B738EE" w:rsidRPr="00350E71">
              <w:rPr>
                <w:color w:val="auto"/>
              </w:rPr>
              <w:t xml:space="preserve">a specific </w:t>
            </w:r>
            <w:r w:rsidRPr="00350E71">
              <w:rPr>
                <w:color w:val="auto"/>
              </w:rPr>
              <w:t xml:space="preserve">anti-avoidance mechanism for IPR transfers will be introduced to </w:t>
            </w:r>
            <w:r w:rsidR="002B797D" w:rsidRPr="00350E71">
              <w:rPr>
                <w:color w:val="auto"/>
              </w:rPr>
              <w:t xml:space="preserve">adjust </w:t>
            </w:r>
            <w:r w:rsidRPr="00350E71">
              <w:rPr>
                <w:color w:val="auto"/>
              </w:rPr>
              <w:t xml:space="preserve">the transacted price of </w:t>
            </w:r>
            <w:r w:rsidR="00B738EE" w:rsidRPr="00350E71">
              <w:rPr>
                <w:color w:val="auto"/>
              </w:rPr>
              <w:t xml:space="preserve">an </w:t>
            </w:r>
            <w:r w:rsidRPr="00350E71">
              <w:rPr>
                <w:color w:val="auto"/>
              </w:rPr>
              <w:t>IPR, if the IPR is not transacted at the open market value.</w:t>
            </w:r>
          </w:p>
          <w:p w:rsidR="00F453D9" w:rsidRPr="00350E71" w:rsidRDefault="00F453D9" w:rsidP="00C94936">
            <w:pPr>
              <w:pStyle w:val="Default"/>
              <w:jc w:val="both"/>
              <w:rPr>
                <w:color w:val="auto"/>
              </w:rPr>
            </w:pPr>
          </w:p>
          <w:p w:rsidR="00F453D9" w:rsidRPr="00350E71" w:rsidRDefault="00F453D9" w:rsidP="00C94936">
            <w:pPr>
              <w:pStyle w:val="Default"/>
              <w:jc w:val="both"/>
              <w:rPr>
                <w:color w:val="auto"/>
              </w:rPr>
            </w:pPr>
            <w:r w:rsidRPr="00350E71">
              <w:rPr>
                <w:color w:val="auto"/>
              </w:rPr>
              <w:t xml:space="preserve">The change will apply to </w:t>
            </w:r>
            <w:r w:rsidR="00691E38" w:rsidRPr="00350E71">
              <w:rPr>
                <w:color w:val="auto"/>
              </w:rPr>
              <w:t xml:space="preserve">the </w:t>
            </w:r>
            <w:r w:rsidRPr="00350E71">
              <w:rPr>
                <w:color w:val="auto"/>
              </w:rPr>
              <w:t>acquisitions, sales, transfers or assignments of IPRs from 25 March 2016.</w:t>
            </w:r>
          </w:p>
          <w:p w:rsidR="00F453D9" w:rsidRPr="00350E71" w:rsidRDefault="00F453D9" w:rsidP="00001C9D">
            <w:pPr>
              <w:pStyle w:val="Default"/>
              <w:jc w:val="both"/>
              <w:rPr>
                <w:color w:val="auto"/>
              </w:rPr>
            </w:pPr>
          </w:p>
        </w:tc>
        <w:tc>
          <w:tcPr>
            <w:tcW w:w="763" w:type="pct"/>
          </w:tcPr>
          <w:p w:rsidR="00F453D9" w:rsidRPr="00350E71" w:rsidRDefault="00F453D9" w:rsidP="00F70981">
            <w:r w:rsidRPr="00350E71">
              <w:t>Section 19B</w:t>
            </w:r>
          </w:p>
          <w:p w:rsidR="007C71BC" w:rsidRPr="00350E71" w:rsidRDefault="00F453D9" w:rsidP="00FE01A1">
            <w:r w:rsidRPr="00350E71">
              <w:t xml:space="preserve">[Clause </w:t>
            </w:r>
            <w:r w:rsidR="00FE01A1" w:rsidRPr="00350E71">
              <w:t>20</w:t>
            </w:r>
            <w:r w:rsidRPr="00350E71">
              <w:t>]</w:t>
            </w:r>
          </w:p>
          <w:p w:rsidR="00FE01A1" w:rsidRPr="00350E71" w:rsidRDefault="00FE01A1" w:rsidP="00FE01A1"/>
          <w:p w:rsidR="00FE01A1" w:rsidRPr="00350E71" w:rsidRDefault="00FE01A1" w:rsidP="00FE01A1">
            <w:r w:rsidRPr="00350E71">
              <w:t>Consequential amendment to Section 37I</w:t>
            </w:r>
          </w:p>
          <w:p w:rsidR="00FE01A1" w:rsidRPr="00350E71" w:rsidRDefault="00FE01A1" w:rsidP="00FE01A1">
            <w:r w:rsidRPr="00350E71">
              <w:t>[Clause 22]</w:t>
            </w:r>
          </w:p>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001C9D">
            <w:r w:rsidRPr="00350E71">
              <w:t>Extend and enhance the Finance and Treasury Centre (“FTC”) scheme</w:t>
            </w:r>
          </w:p>
        </w:tc>
        <w:tc>
          <w:tcPr>
            <w:tcW w:w="2690" w:type="pct"/>
          </w:tcPr>
          <w:p w:rsidR="00F453D9" w:rsidRPr="00350E71" w:rsidRDefault="00F453D9" w:rsidP="006E4497">
            <w:pPr>
              <w:pStyle w:val="Default"/>
              <w:jc w:val="both"/>
              <w:rPr>
                <w:color w:val="auto"/>
              </w:rPr>
            </w:pPr>
            <w:r w:rsidRPr="00350E71">
              <w:rPr>
                <w:color w:val="auto"/>
              </w:rPr>
              <w:t xml:space="preserve">To enhance activities in the areas of finance and treasury, the FTC scheme will be extended till 31 March </w:t>
            </w:r>
            <w:r w:rsidR="00691E38" w:rsidRPr="00350E71">
              <w:rPr>
                <w:color w:val="auto"/>
              </w:rPr>
              <w:t xml:space="preserve">2021 </w:t>
            </w:r>
            <w:r w:rsidRPr="00350E71">
              <w:rPr>
                <w:color w:val="auto"/>
              </w:rPr>
              <w:t>and the concessionary tax rate will be lowered to 8%.</w:t>
            </w:r>
          </w:p>
          <w:p w:rsidR="000A0BB8" w:rsidRPr="00350E71" w:rsidRDefault="000A0BB8" w:rsidP="006E4497">
            <w:pPr>
              <w:pStyle w:val="Default"/>
              <w:jc w:val="both"/>
              <w:rPr>
                <w:color w:val="auto"/>
              </w:rPr>
            </w:pPr>
          </w:p>
        </w:tc>
        <w:tc>
          <w:tcPr>
            <w:tcW w:w="763" w:type="pct"/>
          </w:tcPr>
          <w:p w:rsidR="00F453D9" w:rsidRPr="00350E71" w:rsidRDefault="00F453D9" w:rsidP="005031F8">
            <w:r w:rsidRPr="00350E71">
              <w:t xml:space="preserve">Section </w:t>
            </w:r>
            <w:r w:rsidR="007C71BC" w:rsidRPr="00350E71">
              <w:t>43G</w:t>
            </w:r>
          </w:p>
          <w:p w:rsidR="00F453D9" w:rsidRPr="00350E71" w:rsidRDefault="007C71BC" w:rsidP="00FE01A1">
            <w:r w:rsidRPr="00350E71">
              <w:t xml:space="preserve">[Clause </w:t>
            </w:r>
            <w:r w:rsidR="00FE01A1" w:rsidRPr="00350E71">
              <w:t>32</w:t>
            </w:r>
            <w:r w:rsidR="00F453D9" w:rsidRPr="00350E71">
              <w:t>]</w:t>
            </w:r>
          </w:p>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Extend and refine the tax incentive schemes for insurance companies</w:t>
            </w:r>
          </w:p>
          <w:p w:rsidR="00F453D9" w:rsidRPr="00350E71" w:rsidRDefault="00F453D9" w:rsidP="00001C9D"/>
        </w:tc>
        <w:tc>
          <w:tcPr>
            <w:tcW w:w="2690" w:type="pct"/>
          </w:tcPr>
          <w:p w:rsidR="00F453D9" w:rsidRPr="00350E71" w:rsidRDefault="00F453D9" w:rsidP="00C94936">
            <w:r w:rsidRPr="00350E71">
              <w:t xml:space="preserve">To streamline and simplify the tax incentives for the insurance sector while ensuring the continued growth of high-value insurance activities in Singapore, the tax incentive schemes for marine hull and liability insurance, </w:t>
            </w:r>
            <w:proofErr w:type="spellStart"/>
            <w:r w:rsidRPr="00350E71">
              <w:t>specialised</w:t>
            </w:r>
            <w:proofErr w:type="spellEnd"/>
            <w:r w:rsidRPr="00350E71">
              <w:t xml:space="preserve"> insurance business and captive insurance will be subsumed under the Insurance Business Development umbrella scheme with the following changes:</w:t>
            </w:r>
          </w:p>
          <w:p w:rsidR="00F453D9" w:rsidRPr="00350E71" w:rsidRDefault="00F453D9" w:rsidP="00C94936">
            <w:pPr>
              <w:pStyle w:val="Default"/>
              <w:rPr>
                <w:color w:val="auto"/>
              </w:rPr>
            </w:pPr>
          </w:p>
          <w:p w:rsidR="00F453D9" w:rsidRPr="00350E71" w:rsidRDefault="00F453D9" w:rsidP="00C94936">
            <w:pPr>
              <w:pStyle w:val="Default"/>
              <w:numPr>
                <w:ilvl w:val="0"/>
                <w:numId w:val="27"/>
              </w:numPr>
            </w:pPr>
            <w:r w:rsidRPr="00350E71">
              <w:rPr>
                <w:bCs/>
                <w:u w:val="single"/>
              </w:rPr>
              <w:t>Marine Hull and Liability Insurance:</w:t>
            </w:r>
            <w:r w:rsidRPr="00350E71">
              <w:rPr>
                <w:b/>
                <w:bCs/>
              </w:rPr>
              <w:t xml:space="preserve"> </w:t>
            </w:r>
            <w:r w:rsidRPr="00350E71">
              <w:t xml:space="preserve">A concessionary tax rate of 10% will apply to new and </w:t>
            </w:r>
            <w:r w:rsidR="00F9334A" w:rsidRPr="00350E71">
              <w:t xml:space="preserve">renewed </w:t>
            </w:r>
            <w:r w:rsidRPr="00350E71">
              <w:t>awards from 1 April 2016.</w:t>
            </w:r>
          </w:p>
          <w:p w:rsidR="00F453D9" w:rsidRPr="00350E71" w:rsidRDefault="00F453D9" w:rsidP="00340F1E">
            <w:pPr>
              <w:pStyle w:val="Default"/>
              <w:numPr>
                <w:ilvl w:val="0"/>
                <w:numId w:val="27"/>
              </w:numPr>
            </w:pPr>
            <w:r w:rsidRPr="00350E71">
              <w:rPr>
                <w:bCs/>
                <w:u w:val="single"/>
              </w:rPr>
              <w:t>Specialised Insurance Business:</w:t>
            </w:r>
            <w:r w:rsidRPr="00350E71">
              <w:rPr>
                <w:b/>
                <w:bCs/>
              </w:rPr>
              <w:t xml:space="preserve"> </w:t>
            </w:r>
            <w:r w:rsidRPr="00350E71">
              <w:t xml:space="preserve">A concessionary tax rate of 8% will apply to new awards from 1 September 2019. As a transitional measure, a concessionary tax rate of 5% will apply to new awards from 1 September 2016 to 31 August 2019. A concessionary tax rate of 10% will apply to </w:t>
            </w:r>
            <w:r w:rsidR="00F9334A" w:rsidRPr="00350E71">
              <w:t xml:space="preserve">renewed </w:t>
            </w:r>
            <w:r w:rsidRPr="00350E71">
              <w:t xml:space="preserve">awards from 1 September 2016. </w:t>
            </w:r>
          </w:p>
          <w:p w:rsidR="00F453D9" w:rsidRPr="00350E71" w:rsidRDefault="00F453D9" w:rsidP="00F453D9">
            <w:pPr>
              <w:pStyle w:val="Default"/>
              <w:numPr>
                <w:ilvl w:val="0"/>
                <w:numId w:val="27"/>
              </w:numPr>
            </w:pPr>
            <w:r w:rsidRPr="00350E71">
              <w:rPr>
                <w:bCs/>
                <w:u w:val="single"/>
              </w:rPr>
              <w:t>Captive Insurance:</w:t>
            </w:r>
            <w:r w:rsidRPr="00350E71">
              <w:rPr>
                <w:b/>
                <w:bCs/>
              </w:rPr>
              <w:t xml:space="preserve"> </w:t>
            </w:r>
            <w:r w:rsidRPr="00350E71">
              <w:t xml:space="preserve">A concessionary tax rate of 10% will apply to new and </w:t>
            </w:r>
            <w:r w:rsidR="00F9334A" w:rsidRPr="00350E71">
              <w:t xml:space="preserve">renewed </w:t>
            </w:r>
            <w:r w:rsidRPr="00350E71">
              <w:t xml:space="preserve">awards from 1 April 2018. </w:t>
            </w:r>
          </w:p>
          <w:p w:rsidR="00F453D9" w:rsidRPr="00350E71" w:rsidRDefault="00F453D9" w:rsidP="00A221EC">
            <w:pPr>
              <w:pStyle w:val="ListParagraph"/>
              <w:ind w:left="595" w:right="57"/>
              <w:jc w:val="both"/>
              <w:rPr>
                <w:sz w:val="24"/>
                <w:szCs w:val="24"/>
              </w:rPr>
            </w:pPr>
          </w:p>
        </w:tc>
        <w:tc>
          <w:tcPr>
            <w:tcW w:w="763" w:type="pct"/>
          </w:tcPr>
          <w:p w:rsidR="00F453D9" w:rsidRPr="00350E71" w:rsidRDefault="00F453D9" w:rsidP="007C71BC">
            <w:r w:rsidRPr="00350E71">
              <w:t>Section</w:t>
            </w:r>
            <w:r w:rsidR="007C71BC" w:rsidRPr="00350E71">
              <w:t xml:space="preserve"> 43C</w:t>
            </w:r>
          </w:p>
          <w:p w:rsidR="007C71BC" w:rsidRPr="00350E71" w:rsidRDefault="007C71BC" w:rsidP="00FE01A1">
            <w:r w:rsidRPr="00350E71">
              <w:t xml:space="preserve">[Clause </w:t>
            </w:r>
            <w:r w:rsidR="00FE01A1" w:rsidRPr="00350E71">
              <w:t>30</w:t>
            </w:r>
            <w:r w:rsidRPr="00350E71">
              <w:t>]</w:t>
            </w:r>
          </w:p>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Enhance the Maritime Sector Incentive (“MSI”)</w:t>
            </w:r>
          </w:p>
          <w:p w:rsidR="00F453D9" w:rsidRPr="00350E71" w:rsidRDefault="00F453D9" w:rsidP="002C692F"/>
        </w:tc>
        <w:tc>
          <w:tcPr>
            <w:tcW w:w="2690" w:type="pct"/>
          </w:tcPr>
          <w:p w:rsidR="00F453D9" w:rsidRPr="00350E71" w:rsidRDefault="00F453D9" w:rsidP="00C94936">
            <w:r w:rsidRPr="00350E71">
              <w:t>To further develop Singapore as an International Maritime Centre, the MSI is enhanced with effect from 25 March 2016 as follows:</w:t>
            </w:r>
          </w:p>
          <w:p w:rsidR="00F453D9" w:rsidRPr="00350E71" w:rsidRDefault="00F453D9" w:rsidP="00C94936">
            <w:pPr>
              <w:pStyle w:val="Default"/>
              <w:rPr>
                <w:color w:val="auto"/>
              </w:rPr>
            </w:pPr>
          </w:p>
          <w:p w:rsidR="00340F1E" w:rsidRPr="00350E71" w:rsidRDefault="00F453D9" w:rsidP="00340F1E">
            <w:pPr>
              <w:pStyle w:val="Default"/>
              <w:numPr>
                <w:ilvl w:val="0"/>
                <w:numId w:val="28"/>
              </w:numPr>
            </w:pPr>
            <w:r w:rsidRPr="00350E71">
              <w:t xml:space="preserve">The MSI-Singapore Registry of Ships (“MSI-SRS”) and MSI-Approved International Shipping enterprise (“MSI-AIS”) award will cover income derived from operation of ships used for exploration or exploitation of offshore energy or offshore minerals, or ancillary activity relating to exploration or exploitation of offshore energy or offshore minerals. </w:t>
            </w:r>
          </w:p>
          <w:p w:rsidR="00340F1E" w:rsidRPr="00350E71" w:rsidRDefault="00F453D9" w:rsidP="00340F1E">
            <w:pPr>
              <w:pStyle w:val="Default"/>
              <w:numPr>
                <w:ilvl w:val="0"/>
                <w:numId w:val="28"/>
              </w:numPr>
            </w:pPr>
            <w:r w:rsidRPr="00350E71">
              <w:t xml:space="preserve">The MSI-Maritime Leasing (Ship) (“MSI-ML(Ship)”) award will cover income derived from leasing of ships </w:t>
            </w:r>
            <w:r w:rsidR="00830814" w:rsidRPr="00350E71">
              <w:t xml:space="preserve">to be </w:t>
            </w:r>
            <w:r w:rsidRPr="00350E71">
              <w:t xml:space="preserve">used for exploration or exploitation of offshore energy or offshore minerals, or ancillary activity relating to exploration or exploitation of offshore energy or offshore minerals. </w:t>
            </w:r>
          </w:p>
          <w:p w:rsidR="00F453D9" w:rsidRPr="00350E71" w:rsidRDefault="00F453D9" w:rsidP="00001C9D">
            <w:pPr>
              <w:pStyle w:val="Default"/>
              <w:numPr>
                <w:ilvl w:val="0"/>
                <w:numId w:val="28"/>
              </w:numPr>
            </w:pPr>
            <w:r w:rsidRPr="00350E71">
              <w:t>The counterparty restriction under MSI-</w:t>
            </w:r>
            <w:proofErr w:type="gramStart"/>
            <w:r w:rsidRPr="00350E71">
              <w:t>ML(</w:t>
            </w:r>
            <w:proofErr w:type="gramEnd"/>
            <w:r w:rsidRPr="00350E71">
              <w:t xml:space="preserve">Ship) award will be removed. </w:t>
            </w:r>
          </w:p>
        </w:tc>
        <w:tc>
          <w:tcPr>
            <w:tcW w:w="763" w:type="pct"/>
          </w:tcPr>
          <w:p w:rsidR="00F453D9" w:rsidRPr="00350E71" w:rsidRDefault="00340F1E" w:rsidP="005031F8">
            <w:r w:rsidRPr="00350E71">
              <w:t xml:space="preserve">Sections 2, 13A, 13F, 13S and </w:t>
            </w:r>
            <w:r w:rsidR="007C71BC" w:rsidRPr="00350E71">
              <w:t>43ZF</w:t>
            </w:r>
          </w:p>
          <w:p w:rsidR="00F453D9" w:rsidRPr="00350E71" w:rsidRDefault="00F453D9" w:rsidP="00FE01A1">
            <w:r w:rsidRPr="00350E71">
              <w:t>[Clause</w:t>
            </w:r>
            <w:r w:rsidR="007C71BC" w:rsidRPr="00350E71">
              <w:t>s</w:t>
            </w:r>
            <w:r w:rsidRPr="00350E71">
              <w:t xml:space="preserve"> </w:t>
            </w:r>
            <w:r w:rsidR="00FE01A1" w:rsidRPr="00350E71">
              <w:t>2, 6, 7, 9 and 37</w:t>
            </w:r>
            <w:r w:rsidRPr="00350E71">
              <w:t>]</w:t>
            </w:r>
          </w:p>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Introduce the Business and Institute of a Public Character (“IPC”) Partnership Scheme (“BIPS”)</w:t>
            </w:r>
          </w:p>
          <w:p w:rsidR="00F453D9" w:rsidRPr="00350E71" w:rsidRDefault="00F453D9" w:rsidP="00001C9D"/>
        </w:tc>
        <w:tc>
          <w:tcPr>
            <w:tcW w:w="2690" w:type="pct"/>
          </w:tcPr>
          <w:p w:rsidR="00A7161B" w:rsidRPr="00350E71" w:rsidRDefault="00A7161B" w:rsidP="00001C9D">
            <w:r w:rsidRPr="00350E71">
              <w:t xml:space="preserve">To </w:t>
            </w:r>
            <w:proofErr w:type="spellStart"/>
            <w:r w:rsidRPr="00350E71">
              <w:t>incentivise</w:t>
            </w:r>
            <w:proofErr w:type="spellEnd"/>
            <w:r w:rsidRPr="00350E71">
              <w:t xml:space="preserve"> employee volunteerism through businesses, a pilot BIPS will be introduced from 1 July 2016 to 31 December 2018. Under BIPS, businesses will receive 250% tax deduction in total on qualifying expenses when they send their employees to volunteer </w:t>
            </w:r>
            <w:r w:rsidR="00ED19BB" w:rsidRPr="00350E71">
              <w:t xml:space="preserve">or </w:t>
            </w:r>
            <w:r w:rsidRPr="00350E71">
              <w:t xml:space="preserve">provide services to IPCs, including </w:t>
            </w:r>
            <w:proofErr w:type="spellStart"/>
            <w:r w:rsidRPr="00350E71">
              <w:t>secondments</w:t>
            </w:r>
            <w:proofErr w:type="spellEnd"/>
            <w:r w:rsidRPr="00350E71">
              <w:t xml:space="preserve">. Where the qualifying expenditure under BIPS is currently deductible under section 14(1) of the </w:t>
            </w:r>
            <w:r w:rsidR="00ED19BB" w:rsidRPr="00350E71">
              <w:t>ITA</w:t>
            </w:r>
            <w:r w:rsidRPr="00350E71">
              <w:t>, an additional 150% tax deduction will be given, subject to qualifying conditions. Where the qualifying expenditure under BIPS is currently not deductible under s</w:t>
            </w:r>
            <w:r w:rsidR="00ED19BB" w:rsidRPr="00350E71">
              <w:t xml:space="preserve">ection </w:t>
            </w:r>
            <w:r w:rsidRPr="00350E71">
              <w:t>14(1), a 250% tax deduction will be given, subject to qualifying conditions.</w:t>
            </w:r>
          </w:p>
          <w:p w:rsidR="00A7161B" w:rsidRPr="00350E71" w:rsidRDefault="00A7161B" w:rsidP="00001C9D"/>
          <w:p w:rsidR="00A7161B" w:rsidRPr="00350E71" w:rsidRDefault="00A7161B" w:rsidP="00A7161B">
            <w:r w:rsidRPr="00350E71">
              <w:t>The claim under BIPS will be subject to the receiving IPCs’ agreement and the following caps on qualifying expenses:</w:t>
            </w:r>
          </w:p>
          <w:p w:rsidR="00A7161B" w:rsidRPr="00350E71" w:rsidRDefault="00A7161B" w:rsidP="00340F1E">
            <w:pPr>
              <w:pStyle w:val="ListParagraph"/>
              <w:numPr>
                <w:ilvl w:val="0"/>
                <w:numId w:val="32"/>
              </w:numPr>
              <w:rPr>
                <w:sz w:val="24"/>
                <w:szCs w:val="24"/>
              </w:rPr>
            </w:pPr>
            <w:r w:rsidRPr="00350E71">
              <w:rPr>
                <w:sz w:val="24"/>
                <w:szCs w:val="24"/>
                <w:u w:val="single"/>
              </w:rPr>
              <w:t>For businesses:</w:t>
            </w:r>
            <w:r w:rsidRPr="00350E71">
              <w:rPr>
                <w:sz w:val="24"/>
                <w:szCs w:val="24"/>
              </w:rPr>
              <w:t xml:space="preserve"> $250,000 per business per YA</w:t>
            </w:r>
          </w:p>
          <w:p w:rsidR="00A7161B" w:rsidRPr="00350E71" w:rsidRDefault="00A7161B" w:rsidP="00340F1E">
            <w:pPr>
              <w:pStyle w:val="ListParagraph"/>
              <w:numPr>
                <w:ilvl w:val="0"/>
                <w:numId w:val="32"/>
              </w:numPr>
              <w:rPr>
                <w:sz w:val="24"/>
                <w:szCs w:val="24"/>
              </w:rPr>
            </w:pPr>
            <w:r w:rsidRPr="00350E71">
              <w:rPr>
                <w:sz w:val="24"/>
                <w:szCs w:val="24"/>
                <w:u w:val="single"/>
              </w:rPr>
              <w:t>For receiving IPCs:</w:t>
            </w:r>
            <w:r w:rsidRPr="00350E71">
              <w:rPr>
                <w:sz w:val="24"/>
                <w:szCs w:val="24"/>
              </w:rPr>
              <w:t xml:space="preserve"> $50,000 per IPC per calendar year</w:t>
            </w:r>
          </w:p>
          <w:p w:rsidR="00A7161B" w:rsidRPr="00350E71" w:rsidRDefault="00A7161B" w:rsidP="00A7161B"/>
        </w:tc>
        <w:tc>
          <w:tcPr>
            <w:tcW w:w="763" w:type="pct"/>
          </w:tcPr>
          <w:p w:rsidR="00F453D9" w:rsidRPr="00350E71" w:rsidRDefault="00F453D9" w:rsidP="005031F8">
            <w:r w:rsidRPr="00350E71">
              <w:t>Section</w:t>
            </w:r>
            <w:r w:rsidR="001242E3" w:rsidRPr="00350E71">
              <w:t>s</w:t>
            </w:r>
            <w:r w:rsidRPr="00350E71">
              <w:t xml:space="preserve"> </w:t>
            </w:r>
            <w:r w:rsidR="007C71BC" w:rsidRPr="00350E71">
              <w:t>14ZB</w:t>
            </w:r>
            <w:r w:rsidR="00340F1E" w:rsidRPr="00350E71">
              <w:t xml:space="preserve"> and</w:t>
            </w:r>
            <w:r w:rsidR="001242E3" w:rsidRPr="00350E71">
              <w:t xml:space="preserve"> 15</w:t>
            </w:r>
          </w:p>
          <w:p w:rsidR="00E469B7" w:rsidRPr="00350E71" w:rsidRDefault="00F453D9" w:rsidP="002C1C40">
            <w:r w:rsidRPr="00350E71">
              <w:t>[Clause</w:t>
            </w:r>
            <w:r w:rsidR="00FE01A1" w:rsidRPr="00350E71">
              <w:t>s 17 and 18</w:t>
            </w:r>
            <w:r w:rsidRPr="00350E71">
              <w:t>]</w:t>
            </w:r>
          </w:p>
          <w:p w:rsidR="00BD506D" w:rsidRPr="00350E71" w:rsidRDefault="00BD506D" w:rsidP="00E469B7"/>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 xml:space="preserve">Provide for allocation of expenses under Section 14U of the ITA </w:t>
            </w:r>
            <w:r w:rsidR="00EA6FD4" w:rsidRPr="00350E71">
              <w:t xml:space="preserve">(“Section 14U expenses”) </w:t>
            </w:r>
            <w:r w:rsidRPr="00350E71">
              <w:t>and pre-commencement expenses under Part V of the ITA</w:t>
            </w:r>
          </w:p>
          <w:p w:rsidR="00F453D9" w:rsidRPr="00350E71" w:rsidRDefault="00F453D9" w:rsidP="00001C9D"/>
        </w:tc>
        <w:tc>
          <w:tcPr>
            <w:tcW w:w="2690" w:type="pct"/>
          </w:tcPr>
          <w:p w:rsidR="00F453D9" w:rsidRPr="00350E71" w:rsidRDefault="00F453D9" w:rsidP="00C94936">
            <w:pPr>
              <w:jc w:val="both"/>
            </w:pPr>
            <w:r w:rsidRPr="00350E71">
              <w:t>To ensure fair allocation of Section 14U and pre-commencement expenses to pre-incentive and incentive income derived by businesses enjoying tax incentives, and provide certainty on the allocation method to be used;</w:t>
            </w:r>
          </w:p>
          <w:p w:rsidR="00F453D9" w:rsidRPr="00350E71" w:rsidRDefault="00F453D9" w:rsidP="00C94936">
            <w:pPr>
              <w:pStyle w:val="Default"/>
              <w:jc w:val="both"/>
              <w:rPr>
                <w:color w:val="auto"/>
              </w:rPr>
            </w:pPr>
          </w:p>
          <w:p w:rsidR="00F453D9" w:rsidRPr="00350E71" w:rsidRDefault="00F453D9" w:rsidP="00F453D9">
            <w:pPr>
              <w:pStyle w:val="Default"/>
              <w:numPr>
                <w:ilvl w:val="0"/>
                <w:numId w:val="29"/>
              </w:numPr>
              <w:jc w:val="both"/>
            </w:pPr>
            <w:r w:rsidRPr="00350E71">
              <w:t xml:space="preserve">Section 14U and pre-commencement expenses that are directly </w:t>
            </w:r>
            <w:r w:rsidR="00EA6FD4" w:rsidRPr="00350E71">
              <w:t xml:space="preserve">attributable to </w:t>
            </w:r>
            <w:r w:rsidRPr="00350E71">
              <w:t>the pre-incentive income or incentive income will be specifically identified and</w:t>
            </w:r>
            <w:r w:rsidR="00EA6FD4" w:rsidRPr="00350E71">
              <w:t xml:space="preserve"> offset</w:t>
            </w:r>
            <w:r w:rsidRPr="00350E71">
              <w:t xml:space="preserve"> against the relevant income; and </w:t>
            </w:r>
          </w:p>
          <w:p w:rsidR="00F453D9" w:rsidRPr="00350E71" w:rsidRDefault="00F453D9" w:rsidP="00C94936">
            <w:pPr>
              <w:pStyle w:val="Default"/>
              <w:numPr>
                <w:ilvl w:val="0"/>
                <w:numId w:val="29"/>
              </w:numPr>
              <w:jc w:val="both"/>
            </w:pPr>
            <w:r w:rsidRPr="00350E71">
              <w:t>For all remaining Section 14U and pre-commencement expenses, they will be allocated between the pre-incentive and incentive income based on income proportion</w:t>
            </w:r>
          </w:p>
          <w:p w:rsidR="00C94936" w:rsidRPr="00350E71" w:rsidRDefault="00C94936" w:rsidP="00001C9D">
            <w:pPr>
              <w:rPr>
                <w:color w:val="000000"/>
              </w:rPr>
            </w:pPr>
          </w:p>
          <w:p w:rsidR="00ED19BB" w:rsidRPr="00350E71" w:rsidRDefault="00F453D9" w:rsidP="00001C9D">
            <w:pPr>
              <w:rPr>
                <w:color w:val="000000"/>
              </w:rPr>
            </w:pPr>
            <w:r w:rsidRPr="00350E71">
              <w:rPr>
                <w:color w:val="000000"/>
              </w:rPr>
              <w:t>This change will take effect for Section 14U and pre-commencement expenses that are incurred from 25 March 2016.</w:t>
            </w:r>
          </w:p>
          <w:p w:rsidR="00F453D9" w:rsidRPr="00350E71" w:rsidRDefault="00F453D9" w:rsidP="00001C9D"/>
        </w:tc>
        <w:tc>
          <w:tcPr>
            <w:tcW w:w="763" w:type="pct"/>
          </w:tcPr>
          <w:p w:rsidR="00F453D9" w:rsidRPr="00350E71" w:rsidRDefault="00F453D9" w:rsidP="005031F8">
            <w:r w:rsidRPr="00350E71">
              <w:t xml:space="preserve">Section </w:t>
            </w:r>
            <w:r w:rsidR="007C71BC" w:rsidRPr="00350E71">
              <w:t>14Z</w:t>
            </w:r>
          </w:p>
          <w:p w:rsidR="00F453D9" w:rsidRPr="00350E71" w:rsidRDefault="00F453D9" w:rsidP="005031F8">
            <w:r w:rsidRPr="00350E71">
              <w:t xml:space="preserve">[Clause </w:t>
            </w:r>
            <w:r w:rsidR="00FE01A1" w:rsidRPr="00350E71">
              <w:t>15</w:t>
            </w:r>
            <w:r w:rsidRPr="00350E71">
              <w:t>]</w:t>
            </w:r>
          </w:p>
          <w:p w:rsidR="007C71BC" w:rsidRPr="00350E71" w:rsidRDefault="007C71BC" w:rsidP="005031F8"/>
          <w:p w:rsidR="007C71BC" w:rsidRPr="00350E71" w:rsidRDefault="007C71BC" w:rsidP="005031F8">
            <w:r w:rsidRPr="00350E71">
              <w:t>Miscellaneous amendments to Sections 14A, 14D, 14S</w:t>
            </w:r>
            <w:r w:rsidR="00DF2BD6" w:rsidRPr="00350E71">
              <w:t>, 14Q and 14U</w:t>
            </w:r>
          </w:p>
          <w:p w:rsidR="00DF2BD6" w:rsidRPr="00350E71" w:rsidRDefault="00DF2BD6" w:rsidP="00FE01A1">
            <w:r w:rsidRPr="00350E71">
              <w:t xml:space="preserve">[Clause </w:t>
            </w:r>
            <w:r w:rsidR="00FE01A1" w:rsidRPr="00350E71">
              <w:t>59</w:t>
            </w:r>
            <w:r w:rsidRPr="00350E71">
              <w:t>]</w:t>
            </w:r>
          </w:p>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0A0BB8">
            <w:r w:rsidRPr="00350E71">
              <w:t>Introduce mandatory electronic filing (“e-filing”) for corporate income tax returns</w:t>
            </w:r>
          </w:p>
        </w:tc>
        <w:tc>
          <w:tcPr>
            <w:tcW w:w="2690" w:type="pct"/>
          </w:tcPr>
          <w:p w:rsidR="00F453D9" w:rsidRPr="00350E71" w:rsidRDefault="00F453D9" w:rsidP="00C94936">
            <w:pPr>
              <w:jc w:val="both"/>
            </w:pPr>
            <w:r w:rsidRPr="00350E71">
              <w:t>In line with government’s direction for more effective delivery of public services and to be aligned with the Smart Nation vision to harness technology to enhance productivity, mandatory e-filing of CIT returns will be implemented in stages as follows:</w:t>
            </w:r>
          </w:p>
          <w:tbl>
            <w:tblPr>
              <w:tblStyle w:val="TableGrid"/>
              <w:tblW w:w="5000" w:type="pct"/>
              <w:tblLayout w:type="fixed"/>
              <w:tblLook w:val="04A0" w:firstRow="1" w:lastRow="0" w:firstColumn="1" w:lastColumn="0" w:noHBand="0" w:noVBand="1"/>
            </w:tblPr>
            <w:tblGrid>
              <w:gridCol w:w="843"/>
              <w:gridCol w:w="6020"/>
            </w:tblGrid>
            <w:tr w:rsidR="00F453D9" w:rsidRPr="00350E71" w:rsidTr="000A0BB8">
              <w:tc>
                <w:tcPr>
                  <w:tcW w:w="614" w:type="pct"/>
                  <w:shd w:val="clear" w:color="auto" w:fill="BFBFBF" w:themeFill="background1" w:themeFillShade="BF"/>
                </w:tcPr>
                <w:p w:rsidR="00F453D9" w:rsidRPr="00350E71" w:rsidRDefault="00F453D9" w:rsidP="00C94936">
                  <w:pPr>
                    <w:jc w:val="both"/>
                  </w:pPr>
                  <w:r w:rsidRPr="00350E71">
                    <w:t>YA</w:t>
                  </w:r>
                </w:p>
              </w:tc>
              <w:tc>
                <w:tcPr>
                  <w:tcW w:w="4386" w:type="pct"/>
                  <w:shd w:val="clear" w:color="auto" w:fill="BFBFBF" w:themeFill="background1" w:themeFillShade="BF"/>
                </w:tcPr>
                <w:p w:rsidR="00F453D9" w:rsidRPr="00350E71" w:rsidRDefault="00F453D9" w:rsidP="00C94936">
                  <w:pPr>
                    <w:jc w:val="both"/>
                  </w:pPr>
                  <w:r w:rsidRPr="00350E71">
                    <w:t>Target group</w:t>
                  </w:r>
                </w:p>
              </w:tc>
            </w:tr>
            <w:tr w:rsidR="00F453D9" w:rsidRPr="00350E71" w:rsidTr="000A0BB8">
              <w:tc>
                <w:tcPr>
                  <w:tcW w:w="614" w:type="pct"/>
                </w:tcPr>
                <w:p w:rsidR="00F453D9" w:rsidRPr="00350E71" w:rsidRDefault="00F453D9" w:rsidP="00C94936">
                  <w:pPr>
                    <w:jc w:val="both"/>
                  </w:pPr>
                  <w:r w:rsidRPr="00350E71">
                    <w:t>2018</w:t>
                  </w:r>
                </w:p>
              </w:tc>
              <w:tc>
                <w:tcPr>
                  <w:tcW w:w="4386" w:type="pct"/>
                </w:tcPr>
                <w:p w:rsidR="00F453D9" w:rsidRPr="00350E71" w:rsidRDefault="00F453D9" w:rsidP="00C94936">
                  <w:pPr>
                    <w:jc w:val="both"/>
                  </w:pPr>
                  <w:r w:rsidRPr="00350E71">
                    <w:t>Companies with turnover of more than $10 million in YA 2017</w:t>
                  </w:r>
                </w:p>
              </w:tc>
            </w:tr>
            <w:tr w:rsidR="00F453D9" w:rsidRPr="00350E71" w:rsidTr="000A0BB8">
              <w:tc>
                <w:tcPr>
                  <w:tcW w:w="614" w:type="pct"/>
                </w:tcPr>
                <w:p w:rsidR="00F453D9" w:rsidRPr="00350E71" w:rsidRDefault="00F453D9" w:rsidP="00C94936">
                  <w:pPr>
                    <w:jc w:val="both"/>
                  </w:pPr>
                  <w:r w:rsidRPr="00350E71">
                    <w:t>2019</w:t>
                  </w:r>
                </w:p>
              </w:tc>
              <w:tc>
                <w:tcPr>
                  <w:tcW w:w="4386" w:type="pct"/>
                </w:tcPr>
                <w:p w:rsidR="00F453D9" w:rsidRPr="00350E71" w:rsidRDefault="00F453D9" w:rsidP="00C94936">
                  <w:pPr>
                    <w:jc w:val="both"/>
                  </w:pPr>
                  <w:r w:rsidRPr="00350E71">
                    <w:t>Companies with turnover of more than $1 million in YA 2018</w:t>
                  </w:r>
                </w:p>
              </w:tc>
            </w:tr>
            <w:tr w:rsidR="00F453D9" w:rsidRPr="00350E71" w:rsidTr="000A0BB8">
              <w:tc>
                <w:tcPr>
                  <w:tcW w:w="614" w:type="pct"/>
                </w:tcPr>
                <w:p w:rsidR="00F453D9" w:rsidRPr="00350E71" w:rsidRDefault="00F453D9" w:rsidP="00C94936">
                  <w:pPr>
                    <w:jc w:val="both"/>
                  </w:pPr>
                  <w:r w:rsidRPr="00350E71">
                    <w:t>2020</w:t>
                  </w:r>
                </w:p>
              </w:tc>
              <w:tc>
                <w:tcPr>
                  <w:tcW w:w="4386" w:type="pct"/>
                </w:tcPr>
                <w:p w:rsidR="00F453D9" w:rsidRPr="00350E71" w:rsidRDefault="00F453D9" w:rsidP="00C94936">
                  <w:pPr>
                    <w:jc w:val="both"/>
                  </w:pPr>
                  <w:r w:rsidRPr="00350E71">
                    <w:t>All companies</w:t>
                  </w:r>
                </w:p>
              </w:tc>
            </w:tr>
          </w:tbl>
          <w:p w:rsidR="00F453D9" w:rsidRPr="00350E71" w:rsidRDefault="000A0BB8" w:rsidP="00001C9D">
            <w:r w:rsidRPr="00350E71">
              <w:t xml:space="preserve"> </w:t>
            </w:r>
          </w:p>
        </w:tc>
        <w:tc>
          <w:tcPr>
            <w:tcW w:w="763" w:type="pct"/>
          </w:tcPr>
          <w:p w:rsidR="00F453D9" w:rsidRPr="00350E71" w:rsidRDefault="00DF2BD6" w:rsidP="005031F8">
            <w:r w:rsidRPr="00350E71">
              <w:t>Sections 8A</w:t>
            </w:r>
            <w:r w:rsidR="00340F1E" w:rsidRPr="00350E71">
              <w:t xml:space="preserve"> and</w:t>
            </w:r>
            <w:r w:rsidRPr="00350E71">
              <w:t xml:space="preserve"> 63</w:t>
            </w:r>
          </w:p>
          <w:p w:rsidR="00F453D9" w:rsidRPr="00350E71" w:rsidRDefault="00F453D9" w:rsidP="00FE01A1">
            <w:r w:rsidRPr="00350E71">
              <w:t>[Clause</w:t>
            </w:r>
            <w:r w:rsidR="00FE01A1" w:rsidRPr="00350E71">
              <w:t>s 3 and 43</w:t>
            </w:r>
            <w:r w:rsidRPr="00350E71">
              <w:t>]</w:t>
            </w:r>
          </w:p>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 xml:space="preserve">Extend the Not-for-Profit </w:t>
            </w:r>
            <w:proofErr w:type="spellStart"/>
            <w:r w:rsidRPr="00350E71">
              <w:t>Organisation</w:t>
            </w:r>
            <w:proofErr w:type="spellEnd"/>
            <w:r w:rsidRPr="00350E71">
              <w:t xml:space="preserve"> (“NPO”) tax incentive</w:t>
            </w:r>
          </w:p>
          <w:p w:rsidR="00F453D9" w:rsidRPr="00350E71" w:rsidRDefault="00F453D9" w:rsidP="00001C9D"/>
        </w:tc>
        <w:tc>
          <w:tcPr>
            <w:tcW w:w="2690" w:type="pct"/>
          </w:tcPr>
          <w:p w:rsidR="00F453D9" w:rsidRPr="00350E71" w:rsidRDefault="00F453D9" w:rsidP="00FB011B">
            <w:pPr>
              <w:pStyle w:val="Default"/>
              <w:jc w:val="both"/>
              <w:rPr>
                <w:color w:val="auto"/>
              </w:rPr>
            </w:pPr>
            <w:r w:rsidRPr="00350E71">
              <w:t>To continue promoting Singapore as a hub for NPOs, the NPO tax incentive will be extended till 31 March 2022.</w:t>
            </w:r>
          </w:p>
        </w:tc>
        <w:tc>
          <w:tcPr>
            <w:tcW w:w="763" w:type="pct"/>
          </w:tcPr>
          <w:p w:rsidR="00F453D9" w:rsidRPr="00350E71" w:rsidRDefault="00DF2BD6" w:rsidP="005031F8">
            <w:r w:rsidRPr="00350E71">
              <w:t>Section 13U</w:t>
            </w:r>
          </w:p>
          <w:p w:rsidR="00F453D9" w:rsidRPr="00350E71" w:rsidRDefault="00F453D9" w:rsidP="00FE01A1">
            <w:r w:rsidRPr="00350E71">
              <w:t xml:space="preserve">[Clause </w:t>
            </w:r>
            <w:r w:rsidR="00FE01A1" w:rsidRPr="00350E71">
              <w:t>10</w:t>
            </w:r>
            <w:r w:rsidRPr="00350E71">
              <w:t>]</w:t>
            </w:r>
          </w:p>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Withdraw the tax exemption on income derived by non-residents trading in Singapore in specified commodities via consignment arrangement</w:t>
            </w:r>
            <w:r w:rsidR="001242E3" w:rsidRPr="00350E71">
              <w:t>s</w:t>
            </w:r>
          </w:p>
          <w:p w:rsidR="00F453D9" w:rsidRPr="00350E71" w:rsidRDefault="00F453D9" w:rsidP="00001C9D"/>
        </w:tc>
        <w:tc>
          <w:tcPr>
            <w:tcW w:w="2690" w:type="pct"/>
          </w:tcPr>
          <w:p w:rsidR="00F453D9" w:rsidRPr="00350E71" w:rsidRDefault="00F453D9" w:rsidP="00FB011B">
            <w:pPr>
              <w:pStyle w:val="Default"/>
              <w:jc w:val="both"/>
              <w:rPr>
                <w:color w:val="auto"/>
              </w:rPr>
            </w:pPr>
            <w:r w:rsidRPr="00350E71">
              <w:t>As the scheme is assessed to be no longer relevant, the tax exemption for non-residents trading in Singapore in specified commodities via consignment arrangements will be withdrawn from YA 2018.</w:t>
            </w:r>
          </w:p>
        </w:tc>
        <w:tc>
          <w:tcPr>
            <w:tcW w:w="763" w:type="pct"/>
          </w:tcPr>
          <w:p w:rsidR="00DF2BD6" w:rsidRPr="00350E71" w:rsidRDefault="00DF2BD6" w:rsidP="00DF2BD6">
            <w:r w:rsidRPr="00350E71">
              <w:t>Section 13</w:t>
            </w:r>
          </w:p>
          <w:p w:rsidR="00F453D9" w:rsidRPr="00350E71" w:rsidRDefault="00F453D9" w:rsidP="00FE01A1">
            <w:r w:rsidRPr="00350E71">
              <w:t xml:space="preserve">[Clause </w:t>
            </w:r>
            <w:r w:rsidR="00FE01A1" w:rsidRPr="00350E71">
              <w:t>5</w:t>
            </w:r>
            <w:r w:rsidRPr="00350E71">
              <w:t>]</w:t>
            </w:r>
          </w:p>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Withdraw the Approved Investment Company scheme</w:t>
            </w:r>
          </w:p>
          <w:p w:rsidR="00F453D9" w:rsidRPr="00350E71" w:rsidRDefault="00F453D9" w:rsidP="00001C9D"/>
        </w:tc>
        <w:tc>
          <w:tcPr>
            <w:tcW w:w="2690" w:type="pct"/>
          </w:tcPr>
          <w:p w:rsidR="00F453D9" w:rsidRPr="00350E71" w:rsidRDefault="00F453D9" w:rsidP="00E5610E">
            <w:pPr>
              <w:pStyle w:val="Default"/>
              <w:jc w:val="both"/>
              <w:rPr>
                <w:color w:val="auto"/>
              </w:rPr>
            </w:pPr>
            <w:r w:rsidRPr="00350E71">
              <w:t xml:space="preserve">As the scheme is assessed to be no longer relevant, the Approved Investment Company scheme will be withdrawn </w:t>
            </w:r>
            <w:r w:rsidR="00E5610E" w:rsidRPr="00350E71">
              <w:t>after</w:t>
            </w:r>
            <w:r w:rsidRPr="00350E71">
              <w:t xml:space="preserve"> </w:t>
            </w:r>
            <w:r w:rsidR="00E5610E" w:rsidRPr="00350E71">
              <w:t>1 January 2017</w:t>
            </w:r>
            <w:r w:rsidRPr="00350E71">
              <w:t>.</w:t>
            </w:r>
          </w:p>
        </w:tc>
        <w:tc>
          <w:tcPr>
            <w:tcW w:w="763" w:type="pct"/>
          </w:tcPr>
          <w:p w:rsidR="00F453D9" w:rsidRPr="00350E71" w:rsidRDefault="00F453D9" w:rsidP="005031F8">
            <w:r w:rsidRPr="00350E71">
              <w:t xml:space="preserve">Section </w:t>
            </w:r>
            <w:r w:rsidR="00DF2BD6" w:rsidRPr="00350E71">
              <w:t>10A</w:t>
            </w:r>
          </w:p>
          <w:p w:rsidR="00F453D9" w:rsidRPr="00350E71" w:rsidRDefault="00DF2BD6" w:rsidP="002C1C40">
            <w:r w:rsidRPr="00350E71">
              <w:t xml:space="preserve">[Clause </w:t>
            </w:r>
            <w:r w:rsidR="00FE01A1" w:rsidRPr="00350E71">
              <w:t>4</w:t>
            </w:r>
            <w:r w:rsidR="00F453D9" w:rsidRPr="00350E71">
              <w:t>]</w:t>
            </w:r>
          </w:p>
          <w:p w:rsidR="000A0BB8" w:rsidRPr="00350E71" w:rsidRDefault="000A0BB8" w:rsidP="00FE01A1"/>
        </w:tc>
      </w:tr>
      <w:tr w:rsidR="00F453D9" w:rsidRPr="00350E71"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 xml:space="preserve">Enhancing the Global Trader </w:t>
            </w:r>
            <w:proofErr w:type="spellStart"/>
            <w:r w:rsidRPr="00350E71">
              <w:t>Programme</w:t>
            </w:r>
            <w:proofErr w:type="spellEnd"/>
            <w:r w:rsidRPr="00350E71">
              <w:t xml:space="preserve"> (Structured Commodity Finance) (“GTP(SCF)”) scheme</w:t>
            </w:r>
          </w:p>
          <w:p w:rsidR="00F453D9" w:rsidRPr="00350E71" w:rsidRDefault="00F453D9" w:rsidP="00001C9D"/>
        </w:tc>
        <w:tc>
          <w:tcPr>
            <w:tcW w:w="2690" w:type="pct"/>
          </w:tcPr>
          <w:p w:rsidR="001726AC" w:rsidRPr="00350E71" w:rsidRDefault="001726AC" w:rsidP="001726AC">
            <w:pPr>
              <w:pStyle w:val="ContentinTable"/>
              <w:spacing w:before="0" w:after="0" w:line="240" w:lineRule="auto"/>
              <w:rPr>
                <w:sz w:val="24"/>
              </w:rPr>
            </w:pPr>
            <w:r w:rsidRPr="00350E71">
              <w:rPr>
                <w:sz w:val="24"/>
              </w:rPr>
              <w:t>To strengthen Singapore’s trade finance capabilities and encourage more SCF activities to be done in Singapore, the GTP(SCF) scheme is enhanced with effect from 25 March 2016 to include the following new qualifying activities:</w:t>
            </w:r>
          </w:p>
          <w:p w:rsidR="001726AC" w:rsidRPr="00350E71" w:rsidRDefault="001726AC" w:rsidP="001726AC">
            <w:pPr>
              <w:pStyle w:val="ContentinTable"/>
              <w:numPr>
                <w:ilvl w:val="0"/>
                <w:numId w:val="33"/>
              </w:numPr>
              <w:spacing w:before="0" w:after="0" w:line="240" w:lineRule="auto"/>
              <w:rPr>
                <w:sz w:val="24"/>
              </w:rPr>
            </w:pPr>
            <w:r w:rsidRPr="00350E71">
              <w:rPr>
                <w:sz w:val="24"/>
              </w:rPr>
              <w:t>Consolidation, management and distribution of funds for designated investments;</w:t>
            </w:r>
          </w:p>
          <w:p w:rsidR="001726AC" w:rsidRPr="00350E71" w:rsidRDefault="001726AC" w:rsidP="00340F1E">
            <w:pPr>
              <w:pStyle w:val="ContentinTable"/>
              <w:numPr>
                <w:ilvl w:val="0"/>
                <w:numId w:val="33"/>
              </w:numPr>
              <w:spacing w:before="0" w:after="0" w:line="240" w:lineRule="auto"/>
              <w:rPr>
                <w:sz w:val="24"/>
              </w:rPr>
            </w:pPr>
            <w:r w:rsidRPr="00350E71">
              <w:rPr>
                <w:sz w:val="24"/>
              </w:rPr>
              <w:t>Treasury advisory services in relation to mergers and acquisitions; and</w:t>
            </w:r>
          </w:p>
          <w:p w:rsidR="001726AC" w:rsidRPr="00350E71" w:rsidRDefault="001726AC" w:rsidP="00340F1E">
            <w:pPr>
              <w:pStyle w:val="ContentinTable"/>
              <w:numPr>
                <w:ilvl w:val="0"/>
                <w:numId w:val="33"/>
              </w:numPr>
              <w:spacing w:before="0" w:after="0" w:line="240" w:lineRule="auto"/>
              <w:rPr>
                <w:sz w:val="24"/>
              </w:rPr>
            </w:pPr>
            <w:r w:rsidRPr="00350E71">
              <w:rPr>
                <w:sz w:val="24"/>
              </w:rPr>
              <w:t>Streaming financing.</w:t>
            </w:r>
          </w:p>
        </w:tc>
        <w:tc>
          <w:tcPr>
            <w:tcW w:w="763" w:type="pct"/>
          </w:tcPr>
          <w:p w:rsidR="00F453D9" w:rsidRPr="00350E71" w:rsidRDefault="00F453D9" w:rsidP="005031F8">
            <w:r w:rsidRPr="00350E71">
              <w:t xml:space="preserve">Section </w:t>
            </w:r>
            <w:r w:rsidR="001726AC" w:rsidRPr="00350E71">
              <w:t>43P</w:t>
            </w:r>
          </w:p>
          <w:p w:rsidR="00F453D9" w:rsidRPr="00350E71" w:rsidRDefault="00F453D9" w:rsidP="005031F8">
            <w:r w:rsidRPr="00350E71">
              <w:t xml:space="preserve">[Clause </w:t>
            </w:r>
            <w:r w:rsidR="00FE01A1" w:rsidRPr="00350E71">
              <w:t>36</w:t>
            </w:r>
            <w:r w:rsidRPr="00350E71">
              <w:t>]</w:t>
            </w:r>
          </w:p>
          <w:p w:rsidR="00F453D9" w:rsidRPr="00350E71" w:rsidRDefault="00F453D9" w:rsidP="005031F8"/>
          <w:p w:rsidR="00F453D9" w:rsidRPr="00350E71" w:rsidRDefault="00F453D9" w:rsidP="004560B9"/>
        </w:tc>
      </w:tr>
      <w:tr w:rsidR="00F453D9" w:rsidRPr="002070CC" w:rsidTr="000A0BB8">
        <w:trPr>
          <w:jc w:val="center"/>
        </w:trPr>
        <w:tc>
          <w:tcPr>
            <w:tcW w:w="310" w:type="pct"/>
          </w:tcPr>
          <w:p w:rsidR="00F453D9" w:rsidRPr="00350E71" w:rsidRDefault="00F453D9" w:rsidP="00F60FBF">
            <w:pPr>
              <w:widowControl w:val="0"/>
              <w:numPr>
                <w:ilvl w:val="0"/>
                <w:numId w:val="2"/>
              </w:numPr>
              <w:rPr>
                <w:rFonts w:eastAsia="PMingLiU"/>
                <w:b/>
              </w:rPr>
            </w:pPr>
          </w:p>
        </w:tc>
        <w:tc>
          <w:tcPr>
            <w:tcW w:w="1237" w:type="pct"/>
            <w:shd w:val="clear" w:color="auto" w:fill="auto"/>
          </w:tcPr>
          <w:p w:rsidR="00F453D9" w:rsidRPr="00350E71" w:rsidRDefault="00F453D9" w:rsidP="00C94936">
            <w:r w:rsidRPr="00350E71">
              <w:t>Introduce a cap of $80,000 on personal income tax reliefs</w:t>
            </w:r>
          </w:p>
          <w:p w:rsidR="00F453D9" w:rsidRPr="00350E71" w:rsidRDefault="00F453D9" w:rsidP="00001C9D"/>
        </w:tc>
        <w:tc>
          <w:tcPr>
            <w:tcW w:w="2690" w:type="pct"/>
          </w:tcPr>
          <w:p w:rsidR="00F453D9" w:rsidRPr="00350E71" w:rsidRDefault="00F453D9" w:rsidP="00C94936">
            <w:pPr>
              <w:pStyle w:val="Default"/>
              <w:jc w:val="both"/>
              <w:rPr>
                <w:color w:val="auto"/>
              </w:rPr>
            </w:pPr>
            <w:r w:rsidRPr="00350E71">
              <w:rPr>
                <w:color w:val="auto"/>
              </w:rPr>
              <w:t>To enhance the progressivity of our personal income tax regime, the total amount of personal income tax reliefs that an individual can claim will be capped at $80,000 per YA with effect from YA 2018.</w:t>
            </w:r>
          </w:p>
          <w:p w:rsidR="00F453D9" w:rsidRPr="00350E71" w:rsidRDefault="00F453D9" w:rsidP="00880044">
            <w:pPr>
              <w:pStyle w:val="Default"/>
              <w:jc w:val="both"/>
              <w:rPr>
                <w:color w:val="auto"/>
              </w:rPr>
            </w:pPr>
          </w:p>
        </w:tc>
        <w:tc>
          <w:tcPr>
            <w:tcW w:w="763" w:type="pct"/>
          </w:tcPr>
          <w:p w:rsidR="00F453D9" w:rsidRPr="00350E71" w:rsidRDefault="00DF2BD6" w:rsidP="00714580">
            <w:r w:rsidRPr="00350E71">
              <w:t>Sections 39A, 40B, 40C</w:t>
            </w:r>
            <w:r w:rsidR="00340F1E" w:rsidRPr="00350E71">
              <w:t xml:space="preserve"> and</w:t>
            </w:r>
            <w:r w:rsidRPr="00350E71">
              <w:t xml:space="preserve"> 40D</w:t>
            </w:r>
          </w:p>
          <w:p w:rsidR="00DF2BD6" w:rsidRPr="002070CC" w:rsidRDefault="00DF2BD6" w:rsidP="00FE01A1">
            <w:r w:rsidRPr="00350E71">
              <w:t xml:space="preserve">[Clauses </w:t>
            </w:r>
            <w:r w:rsidR="00FE01A1" w:rsidRPr="00350E71">
              <w:t>25, 26, 27 and 28</w:t>
            </w:r>
            <w:r w:rsidRPr="00350E71">
              <w:t>]</w:t>
            </w:r>
          </w:p>
        </w:tc>
      </w:tr>
    </w:tbl>
    <w:p w:rsidR="007B0C8A" w:rsidRPr="002070CC" w:rsidRDefault="007B0C8A" w:rsidP="002070CC">
      <w:pPr>
        <w:rPr>
          <w:b/>
        </w:rPr>
      </w:pPr>
    </w:p>
    <w:sectPr w:rsidR="007B0C8A" w:rsidRPr="002070CC" w:rsidSect="00860C1A">
      <w:footerReference w:type="even" r:id="rId13"/>
      <w:footerReference w:type="default" r:id="rId1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ED" w:rsidRDefault="004606ED">
      <w:r>
        <w:separator/>
      </w:r>
    </w:p>
  </w:endnote>
  <w:endnote w:type="continuationSeparator" w:id="0">
    <w:p w:rsidR="004606ED" w:rsidRDefault="0046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936" w:rsidRDefault="00C94936" w:rsidP="00BA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4936" w:rsidRDefault="00C94936" w:rsidP="00BA7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8056"/>
      <w:docPartObj>
        <w:docPartGallery w:val="Page Numbers (Bottom of Page)"/>
        <w:docPartUnique/>
      </w:docPartObj>
    </w:sdtPr>
    <w:sdtEndPr/>
    <w:sdtContent>
      <w:p w:rsidR="00C94936" w:rsidRDefault="00C94936">
        <w:pPr>
          <w:pStyle w:val="Footer"/>
          <w:jc w:val="right"/>
        </w:pPr>
        <w:r>
          <w:fldChar w:fldCharType="begin"/>
        </w:r>
        <w:r>
          <w:instrText xml:space="preserve"> PAGE   \* MERGEFORMAT </w:instrText>
        </w:r>
        <w:r>
          <w:fldChar w:fldCharType="separate"/>
        </w:r>
        <w:r w:rsidR="00692BD8">
          <w:rPr>
            <w:noProof/>
          </w:rPr>
          <w:t>1</w:t>
        </w:r>
        <w:r>
          <w:rPr>
            <w:noProof/>
          </w:rPr>
          <w:fldChar w:fldCharType="end"/>
        </w:r>
      </w:p>
    </w:sdtContent>
  </w:sdt>
  <w:p w:rsidR="00C94936" w:rsidRDefault="00C94936" w:rsidP="00BA73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ED" w:rsidRDefault="004606ED">
      <w:r>
        <w:separator/>
      </w:r>
    </w:p>
  </w:footnote>
  <w:footnote w:type="continuationSeparator" w:id="0">
    <w:p w:rsidR="004606ED" w:rsidRDefault="00460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D67"/>
    <w:multiLevelType w:val="hybridMultilevel"/>
    <w:tmpl w:val="07F20CFE"/>
    <w:lvl w:ilvl="0" w:tplc="28A6EE4E">
      <w:start w:val="1"/>
      <w:numFmt w:val="decimal"/>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2312DC1"/>
    <w:multiLevelType w:val="hybridMultilevel"/>
    <w:tmpl w:val="E6A8742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5914537"/>
    <w:multiLevelType w:val="multilevel"/>
    <w:tmpl w:val="2D0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F7F56"/>
    <w:multiLevelType w:val="hybridMultilevel"/>
    <w:tmpl w:val="971801CC"/>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D5F309D"/>
    <w:multiLevelType w:val="hybridMultilevel"/>
    <w:tmpl w:val="2D381544"/>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
    <w:nsid w:val="0D9D02BA"/>
    <w:multiLevelType w:val="hybridMultilevel"/>
    <w:tmpl w:val="159C522E"/>
    <w:lvl w:ilvl="0" w:tplc="9E80FDFE">
      <w:start w:val="1"/>
      <w:numFmt w:val="lowerLetter"/>
      <w:lvlText w:val="(%1)"/>
      <w:lvlJc w:val="left"/>
      <w:pPr>
        <w:ind w:left="720" w:hanging="360"/>
      </w:pPr>
      <w:rPr>
        <w:rFonts w:hint="default"/>
        <w:b w:val="0"/>
      </w:rPr>
    </w:lvl>
    <w:lvl w:ilvl="1" w:tplc="0C207D28">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1E1F6E"/>
    <w:multiLevelType w:val="hybridMultilevel"/>
    <w:tmpl w:val="159C522E"/>
    <w:lvl w:ilvl="0" w:tplc="9E80FDFE">
      <w:start w:val="1"/>
      <w:numFmt w:val="lowerLetter"/>
      <w:lvlText w:val="(%1)"/>
      <w:lvlJc w:val="left"/>
      <w:pPr>
        <w:ind w:left="720" w:hanging="360"/>
      </w:pPr>
      <w:rPr>
        <w:rFonts w:hint="default"/>
        <w:b w:val="0"/>
      </w:rPr>
    </w:lvl>
    <w:lvl w:ilvl="1" w:tplc="0C207D28">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757E8B"/>
    <w:multiLevelType w:val="multilevel"/>
    <w:tmpl w:val="75D4B268"/>
    <w:lvl w:ilvl="0">
      <w:start w:val="1"/>
      <w:numFmt w:val="lowerRoman"/>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DB548E"/>
    <w:multiLevelType w:val="multilevel"/>
    <w:tmpl w:val="45DC9DAE"/>
    <w:lvl w:ilvl="0">
      <w:start w:val="1"/>
      <w:numFmt w:val="lowerRoman"/>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E7780"/>
    <w:multiLevelType w:val="multilevel"/>
    <w:tmpl w:val="7E1EE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485A09"/>
    <w:multiLevelType w:val="multilevel"/>
    <w:tmpl w:val="A428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D91A23"/>
    <w:multiLevelType w:val="hybridMultilevel"/>
    <w:tmpl w:val="C30C38D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31F25ED3"/>
    <w:multiLevelType w:val="hybridMultilevel"/>
    <w:tmpl w:val="FE28EA74"/>
    <w:lvl w:ilvl="0" w:tplc="2B5A85CC">
      <w:start w:val="1"/>
      <w:numFmt w:val="lowerLetter"/>
      <w:lvlText w:val="%1)"/>
      <w:lvlJc w:val="left"/>
      <w:pPr>
        <w:ind w:left="1080" w:hanging="720"/>
      </w:pPr>
      <w:rPr>
        <w:b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3">
    <w:nsid w:val="3A1031E1"/>
    <w:multiLevelType w:val="multilevel"/>
    <w:tmpl w:val="880477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34C1030"/>
    <w:multiLevelType w:val="hybridMultilevel"/>
    <w:tmpl w:val="F258D0F0"/>
    <w:lvl w:ilvl="0" w:tplc="CFB273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443025A6"/>
    <w:multiLevelType w:val="hybridMultilevel"/>
    <w:tmpl w:val="57DC0E72"/>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6">
    <w:nsid w:val="465D3341"/>
    <w:multiLevelType w:val="hybridMultilevel"/>
    <w:tmpl w:val="D292CA84"/>
    <w:lvl w:ilvl="0" w:tplc="B0E6D2EC">
      <w:start w:val="1"/>
      <w:numFmt w:val="lowerLetter"/>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nsid w:val="49E64615"/>
    <w:multiLevelType w:val="hybridMultilevel"/>
    <w:tmpl w:val="A7248460"/>
    <w:lvl w:ilvl="0" w:tplc="0BC61A70">
      <w:start w:val="1"/>
      <w:numFmt w:val="lowerLetter"/>
      <w:lvlText w:val="%1)"/>
      <w:lvlJc w:val="left"/>
      <w:pPr>
        <w:ind w:left="1569"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8">
    <w:nsid w:val="52B10DD8"/>
    <w:multiLevelType w:val="hybridMultilevel"/>
    <w:tmpl w:val="D292CA84"/>
    <w:lvl w:ilvl="0" w:tplc="B0E6D2EC">
      <w:start w:val="1"/>
      <w:numFmt w:val="lowerLetter"/>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9">
    <w:nsid w:val="650379FB"/>
    <w:multiLevelType w:val="hybridMultilevel"/>
    <w:tmpl w:val="E256A25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650D7545"/>
    <w:multiLevelType w:val="multilevel"/>
    <w:tmpl w:val="65A25E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AA179B7"/>
    <w:multiLevelType w:val="hybridMultilevel"/>
    <w:tmpl w:val="618487E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6BDA4E7C"/>
    <w:multiLevelType w:val="multilevel"/>
    <w:tmpl w:val="608E7B04"/>
    <w:lvl w:ilvl="0">
      <w:start w:val="1"/>
      <w:numFmt w:val="upperLetter"/>
      <w:lvlText w:val="%1."/>
      <w:lvlJc w:val="left"/>
      <w:pPr>
        <w:ind w:left="786" w:hanging="360"/>
      </w:pPr>
      <w:rPr>
        <w:rFonts w:ascii="Arial" w:hAnsi="Arial" w:cs="Arial" w:hint="default"/>
      </w:rPr>
    </w:lvl>
    <w:lvl w:ilvl="1">
      <w:start w:val="1"/>
      <w:numFmt w:val="decimal"/>
      <w:lvlText w:val="%1.%2."/>
      <w:lvlJc w:val="left"/>
      <w:pPr>
        <w:ind w:left="1218" w:hanging="432"/>
      </w:pPr>
      <w:rPr>
        <w:rFonts w:hint="default"/>
        <w:strike w:val="0"/>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pStyle w:val="Heading5"/>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3">
    <w:nsid w:val="6E77111F"/>
    <w:multiLevelType w:val="hybridMultilevel"/>
    <w:tmpl w:val="9746C19A"/>
    <w:lvl w:ilvl="0" w:tplc="A29A591C">
      <w:start w:val="1"/>
      <w:numFmt w:val="lowerLetter"/>
      <w:lvlText w:val="%1)"/>
      <w:lvlJc w:val="left"/>
      <w:pPr>
        <w:ind w:left="720" w:hanging="360"/>
      </w:pPr>
      <w:rPr>
        <w:sz w:val="24"/>
        <w:szCs w:val="24"/>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4">
    <w:nsid w:val="72EF125C"/>
    <w:multiLevelType w:val="multilevel"/>
    <w:tmpl w:val="EF2022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214505"/>
    <w:multiLevelType w:val="hybridMultilevel"/>
    <w:tmpl w:val="19D0AF1E"/>
    <w:lvl w:ilvl="0" w:tplc="28A6EE4E">
      <w:start w:val="1"/>
      <w:numFmt w:val="decimal"/>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758E1021"/>
    <w:multiLevelType w:val="hybridMultilevel"/>
    <w:tmpl w:val="01CC3B4A"/>
    <w:lvl w:ilvl="0" w:tplc="9E80FDF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31113A"/>
    <w:multiLevelType w:val="hybridMultilevel"/>
    <w:tmpl w:val="BF387DF0"/>
    <w:lvl w:ilvl="0" w:tplc="4538D5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475738"/>
    <w:multiLevelType w:val="hybridMultilevel"/>
    <w:tmpl w:val="553A13F4"/>
    <w:lvl w:ilvl="0" w:tplc="4AF89ACE">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nsid w:val="77CC203F"/>
    <w:multiLevelType w:val="hybridMultilevel"/>
    <w:tmpl w:val="C8260C5C"/>
    <w:lvl w:ilvl="0" w:tplc="1AFC8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BF336A"/>
    <w:multiLevelType w:val="hybridMultilevel"/>
    <w:tmpl w:val="C30C38D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7ECD636F"/>
    <w:multiLevelType w:val="hybridMultilevel"/>
    <w:tmpl w:val="306CE4DC"/>
    <w:lvl w:ilvl="0" w:tplc="63400752">
      <w:start w:val="1"/>
      <w:numFmt w:val="lowerLetter"/>
      <w:lvlText w:val="%1)"/>
      <w:lvlJc w:val="left"/>
      <w:pPr>
        <w:ind w:left="720" w:hanging="360"/>
      </w:pPr>
      <w:rPr>
        <w:rFonts w:hint="default"/>
        <w:color w:val="auto"/>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2"/>
  </w:num>
  <w:num w:numId="2">
    <w:abstractNumId w:val="0"/>
  </w:num>
  <w:num w:numId="3">
    <w:abstractNumId w:val="3"/>
  </w:num>
  <w:num w:numId="4">
    <w:abstractNumId w:val="10"/>
  </w:num>
  <w:num w:numId="5">
    <w:abstractNumId w:val="9"/>
  </w:num>
  <w:num w:numId="6">
    <w:abstractNumId w:val="2"/>
  </w:num>
  <w:num w:numId="7">
    <w:abstractNumId w:val="13"/>
  </w:num>
  <w:num w:numId="8">
    <w:abstractNumId w:val="20"/>
  </w:num>
  <w:num w:numId="9">
    <w:abstractNumId w:val="29"/>
  </w:num>
  <w:num w:numId="10">
    <w:abstractNumId w:val="8"/>
  </w:num>
  <w:num w:numId="11">
    <w:abstractNumId w:val="24"/>
  </w:num>
  <w:num w:numId="12">
    <w:abstractNumId w:val="14"/>
  </w:num>
  <w:num w:numId="13">
    <w:abstractNumId w:val="7"/>
  </w:num>
  <w:num w:numId="14">
    <w:abstractNumId w:val="27"/>
  </w:num>
  <w:num w:numId="15">
    <w:abstractNumId w:val="5"/>
  </w:num>
  <w:num w:numId="16">
    <w:abstractNumId w:val="26"/>
  </w:num>
  <w:num w:numId="17">
    <w:abstractNumId w:val="3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5"/>
  </w:num>
  <w:num w:numId="26">
    <w:abstractNumId w:val="25"/>
  </w:num>
  <w:num w:numId="27">
    <w:abstractNumId w:val="28"/>
  </w:num>
  <w:num w:numId="28">
    <w:abstractNumId w:val="21"/>
  </w:num>
  <w:num w:numId="29">
    <w:abstractNumId w:val="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0"/>
  </w:num>
  <w:num w:numId="3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02"/>
    <w:rsid w:val="00000048"/>
    <w:rsid w:val="00001C9D"/>
    <w:rsid w:val="00002F54"/>
    <w:rsid w:val="000031AE"/>
    <w:rsid w:val="00003B0E"/>
    <w:rsid w:val="00003DC2"/>
    <w:rsid w:val="00004FB7"/>
    <w:rsid w:val="00005562"/>
    <w:rsid w:val="00006AC7"/>
    <w:rsid w:val="00007BE7"/>
    <w:rsid w:val="0001301B"/>
    <w:rsid w:val="00015179"/>
    <w:rsid w:val="00016803"/>
    <w:rsid w:val="00016AF3"/>
    <w:rsid w:val="00020258"/>
    <w:rsid w:val="000241DC"/>
    <w:rsid w:val="000258AB"/>
    <w:rsid w:val="00034FBC"/>
    <w:rsid w:val="00036CDF"/>
    <w:rsid w:val="00041C33"/>
    <w:rsid w:val="000439B7"/>
    <w:rsid w:val="00046117"/>
    <w:rsid w:val="00046FD5"/>
    <w:rsid w:val="00050439"/>
    <w:rsid w:val="000511F4"/>
    <w:rsid w:val="000519C6"/>
    <w:rsid w:val="0005277F"/>
    <w:rsid w:val="00056DE9"/>
    <w:rsid w:val="00057396"/>
    <w:rsid w:val="00057D7C"/>
    <w:rsid w:val="00061429"/>
    <w:rsid w:val="0006157A"/>
    <w:rsid w:val="00063115"/>
    <w:rsid w:val="000632BC"/>
    <w:rsid w:val="000652FC"/>
    <w:rsid w:val="0006673B"/>
    <w:rsid w:val="0006698B"/>
    <w:rsid w:val="000674A5"/>
    <w:rsid w:val="0007034D"/>
    <w:rsid w:val="00070FF3"/>
    <w:rsid w:val="000722CA"/>
    <w:rsid w:val="00073010"/>
    <w:rsid w:val="00076DA3"/>
    <w:rsid w:val="0008357E"/>
    <w:rsid w:val="00084FBD"/>
    <w:rsid w:val="00085341"/>
    <w:rsid w:val="00085E19"/>
    <w:rsid w:val="00086B65"/>
    <w:rsid w:val="0009063E"/>
    <w:rsid w:val="00090E7D"/>
    <w:rsid w:val="00090F6B"/>
    <w:rsid w:val="000934E4"/>
    <w:rsid w:val="00093EC2"/>
    <w:rsid w:val="00094244"/>
    <w:rsid w:val="00094DF0"/>
    <w:rsid w:val="0009745C"/>
    <w:rsid w:val="00097F5C"/>
    <w:rsid w:val="000A0BB8"/>
    <w:rsid w:val="000A0D21"/>
    <w:rsid w:val="000A2BCE"/>
    <w:rsid w:val="000A55A4"/>
    <w:rsid w:val="000A66A9"/>
    <w:rsid w:val="000A6F5E"/>
    <w:rsid w:val="000B1D58"/>
    <w:rsid w:val="000B1D9F"/>
    <w:rsid w:val="000B1EC4"/>
    <w:rsid w:val="000B2121"/>
    <w:rsid w:val="000B253D"/>
    <w:rsid w:val="000B361B"/>
    <w:rsid w:val="000B3C63"/>
    <w:rsid w:val="000B3D57"/>
    <w:rsid w:val="000B7206"/>
    <w:rsid w:val="000B772D"/>
    <w:rsid w:val="000C2BDB"/>
    <w:rsid w:val="000C42E3"/>
    <w:rsid w:val="000C6F24"/>
    <w:rsid w:val="000D4012"/>
    <w:rsid w:val="000D4DBC"/>
    <w:rsid w:val="000D5F41"/>
    <w:rsid w:val="000D7140"/>
    <w:rsid w:val="000D7623"/>
    <w:rsid w:val="000E1263"/>
    <w:rsid w:val="000E1545"/>
    <w:rsid w:val="000E23E6"/>
    <w:rsid w:val="000E3ED5"/>
    <w:rsid w:val="000E42ED"/>
    <w:rsid w:val="000E69B3"/>
    <w:rsid w:val="000E719C"/>
    <w:rsid w:val="000E7FD1"/>
    <w:rsid w:val="000F0B4D"/>
    <w:rsid w:val="000F20DA"/>
    <w:rsid w:val="000F2B99"/>
    <w:rsid w:val="000F36A1"/>
    <w:rsid w:val="000F5DC2"/>
    <w:rsid w:val="000F6967"/>
    <w:rsid w:val="000F6F83"/>
    <w:rsid w:val="00103615"/>
    <w:rsid w:val="001040D9"/>
    <w:rsid w:val="00105577"/>
    <w:rsid w:val="001061E3"/>
    <w:rsid w:val="00106587"/>
    <w:rsid w:val="00110940"/>
    <w:rsid w:val="0011497A"/>
    <w:rsid w:val="00114C4A"/>
    <w:rsid w:val="00116F37"/>
    <w:rsid w:val="00121C31"/>
    <w:rsid w:val="00121E5F"/>
    <w:rsid w:val="00123AA7"/>
    <w:rsid w:val="00123CEA"/>
    <w:rsid w:val="001240D5"/>
    <w:rsid w:val="001242E3"/>
    <w:rsid w:val="0012678F"/>
    <w:rsid w:val="00126FE9"/>
    <w:rsid w:val="00127362"/>
    <w:rsid w:val="00127855"/>
    <w:rsid w:val="001278DF"/>
    <w:rsid w:val="001279BD"/>
    <w:rsid w:val="00130426"/>
    <w:rsid w:val="00134B7A"/>
    <w:rsid w:val="001361EB"/>
    <w:rsid w:val="00137C40"/>
    <w:rsid w:val="001429B2"/>
    <w:rsid w:val="00142BCE"/>
    <w:rsid w:val="00147D29"/>
    <w:rsid w:val="001501FB"/>
    <w:rsid w:val="00151B2A"/>
    <w:rsid w:val="001523B6"/>
    <w:rsid w:val="00152C67"/>
    <w:rsid w:val="00156260"/>
    <w:rsid w:val="001562A0"/>
    <w:rsid w:val="00156FB5"/>
    <w:rsid w:val="001605AD"/>
    <w:rsid w:val="00160F80"/>
    <w:rsid w:val="00161A88"/>
    <w:rsid w:val="001626F2"/>
    <w:rsid w:val="00163FB9"/>
    <w:rsid w:val="001658FB"/>
    <w:rsid w:val="0016771D"/>
    <w:rsid w:val="00170F88"/>
    <w:rsid w:val="001723FA"/>
    <w:rsid w:val="001726AC"/>
    <w:rsid w:val="0017402F"/>
    <w:rsid w:val="001810A8"/>
    <w:rsid w:val="00183ECE"/>
    <w:rsid w:val="001847D6"/>
    <w:rsid w:val="001927DB"/>
    <w:rsid w:val="0019785A"/>
    <w:rsid w:val="001A042C"/>
    <w:rsid w:val="001A5FA4"/>
    <w:rsid w:val="001A614F"/>
    <w:rsid w:val="001B15AE"/>
    <w:rsid w:val="001B1DAF"/>
    <w:rsid w:val="001B4717"/>
    <w:rsid w:val="001B6C64"/>
    <w:rsid w:val="001B766E"/>
    <w:rsid w:val="001B7808"/>
    <w:rsid w:val="001C156E"/>
    <w:rsid w:val="001C2CA3"/>
    <w:rsid w:val="001C2F6A"/>
    <w:rsid w:val="001C42D6"/>
    <w:rsid w:val="001C57A2"/>
    <w:rsid w:val="001C6CBE"/>
    <w:rsid w:val="001C73B5"/>
    <w:rsid w:val="001D0614"/>
    <w:rsid w:val="001D445C"/>
    <w:rsid w:val="001D4E65"/>
    <w:rsid w:val="001D5AC3"/>
    <w:rsid w:val="001D5D86"/>
    <w:rsid w:val="001D63B1"/>
    <w:rsid w:val="001D7868"/>
    <w:rsid w:val="001E06FE"/>
    <w:rsid w:val="001E0F29"/>
    <w:rsid w:val="001E6206"/>
    <w:rsid w:val="001E682D"/>
    <w:rsid w:val="001E6DF1"/>
    <w:rsid w:val="001E778F"/>
    <w:rsid w:val="001F09F3"/>
    <w:rsid w:val="001F0FC9"/>
    <w:rsid w:val="001F24C0"/>
    <w:rsid w:val="001F2936"/>
    <w:rsid w:val="001F2E23"/>
    <w:rsid w:val="001F3C85"/>
    <w:rsid w:val="001F4020"/>
    <w:rsid w:val="001F4D64"/>
    <w:rsid w:val="001F528B"/>
    <w:rsid w:val="001F5AFA"/>
    <w:rsid w:val="001F7190"/>
    <w:rsid w:val="001F7716"/>
    <w:rsid w:val="0020013D"/>
    <w:rsid w:val="00200472"/>
    <w:rsid w:val="00201878"/>
    <w:rsid w:val="00201E08"/>
    <w:rsid w:val="00203D60"/>
    <w:rsid w:val="00204099"/>
    <w:rsid w:val="00204665"/>
    <w:rsid w:val="00204688"/>
    <w:rsid w:val="00206282"/>
    <w:rsid w:val="002070CC"/>
    <w:rsid w:val="00210B9D"/>
    <w:rsid w:val="00210DCA"/>
    <w:rsid w:val="00210F5A"/>
    <w:rsid w:val="002114C1"/>
    <w:rsid w:val="00211A9F"/>
    <w:rsid w:val="002129AC"/>
    <w:rsid w:val="00212D96"/>
    <w:rsid w:val="00212E35"/>
    <w:rsid w:val="002154B1"/>
    <w:rsid w:val="00216317"/>
    <w:rsid w:val="00217706"/>
    <w:rsid w:val="0021792D"/>
    <w:rsid w:val="00220C70"/>
    <w:rsid w:val="00223223"/>
    <w:rsid w:val="00223912"/>
    <w:rsid w:val="002243F9"/>
    <w:rsid w:val="00225F94"/>
    <w:rsid w:val="0022656C"/>
    <w:rsid w:val="00234152"/>
    <w:rsid w:val="00234D4E"/>
    <w:rsid w:val="00236584"/>
    <w:rsid w:val="0023734B"/>
    <w:rsid w:val="00240BB9"/>
    <w:rsid w:val="00241F2D"/>
    <w:rsid w:val="0024278B"/>
    <w:rsid w:val="00244C36"/>
    <w:rsid w:val="0024528C"/>
    <w:rsid w:val="00245475"/>
    <w:rsid w:val="00245550"/>
    <w:rsid w:val="00247085"/>
    <w:rsid w:val="00247D87"/>
    <w:rsid w:val="0025038A"/>
    <w:rsid w:val="00250B9A"/>
    <w:rsid w:val="00253978"/>
    <w:rsid w:val="00253DF5"/>
    <w:rsid w:val="00255246"/>
    <w:rsid w:val="002564BE"/>
    <w:rsid w:val="002630EC"/>
    <w:rsid w:val="00265200"/>
    <w:rsid w:val="00266954"/>
    <w:rsid w:val="0026719A"/>
    <w:rsid w:val="002673B0"/>
    <w:rsid w:val="00267A26"/>
    <w:rsid w:val="00267EB1"/>
    <w:rsid w:val="00272EBF"/>
    <w:rsid w:val="00275637"/>
    <w:rsid w:val="002827A3"/>
    <w:rsid w:val="00282EF8"/>
    <w:rsid w:val="00283248"/>
    <w:rsid w:val="00283EB4"/>
    <w:rsid w:val="002845B1"/>
    <w:rsid w:val="00286605"/>
    <w:rsid w:val="0028723D"/>
    <w:rsid w:val="002907FF"/>
    <w:rsid w:val="00290B3B"/>
    <w:rsid w:val="00290F70"/>
    <w:rsid w:val="0029145B"/>
    <w:rsid w:val="00292056"/>
    <w:rsid w:val="002941D3"/>
    <w:rsid w:val="00295263"/>
    <w:rsid w:val="0029556F"/>
    <w:rsid w:val="002966A3"/>
    <w:rsid w:val="002973A7"/>
    <w:rsid w:val="002A14E3"/>
    <w:rsid w:val="002A259A"/>
    <w:rsid w:val="002A45A1"/>
    <w:rsid w:val="002A562E"/>
    <w:rsid w:val="002B12B5"/>
    <w:rsid w:val="002B41EF"/>
    <w:rsid w:val="002B45E1"/>
    <w:rsid w:val="002B4694"/>
    <w:rsid w:val="002B797D"/>
    <w:rsid w:val="002C090A"/>
    <w:rsid w:val="002C1B72"/>
    <w:rsid w:val="002C1C40"/>
    <w:rsid w:val="002C2425"/>
    <w:rsid w:val="002C3D81"/>
    <w:rsid w:val="002C4511"/>
    <w:rsid w:val="002C5544"/>
    <w:rsid w:val="002C6190"/>
    <w:rsid w:val="002C692F"/>
    <w:rsid w:val="002D5C23"/>
    <w:rsid w:val="002D5D50"/>
    <w:rsid w:val="002D6800"/>
    <w:rsid w:val="002E22E9"/>
    <w:rsid w:val="002E4294"/>
    <w:rsid w:val="002E6929"/>
    <w:rsid w:val="002E7077"/>
    <w:rsid w:val="002F0322"/>
    <w:rsid w:val="002F0FD9"/>
    <w:rsid w:val="002F70BF"/>
    <w:rsid w:val="00300382"/>
    <w:rsid w:val="00300603"/>
    <w:rsid w:val="0030172A"/>
    <w:rsid w:val="00302B9A"/>
    <w:rsid w:val="00302C59"/>
    <w:rsid w:val="003042F5"/>
    <w:rsid w:val="00304E1C"/>
    <w:rsid w:val="0030614B"/>
    <w:rsid w:val="00306DB7"/>
    <w:rsid w:val="00312121"/>
    <w:rsid w:val="003129FA"/>
    <w:rsid w:val="00312F3A"/>
    <w:rsid w:val="00316B16"/>
    <w:rsid w:val="00316D94"/>
    <w:rsid w:val="0031739B"/>
    <w:rsid w:val="003213B6"/>
    <w:rsid w:val="00323D0E"/>
    <w:rsid w:val="00324AE0"/>
    <w:rsid w:val="00327D73"/>
    <w:rsid w:val="0033290A"/>
    <w:rsid w:val="00340F1E"/>
    <w:rsid w:val="003418A2"/>
    <w:rsid w:val="00341FB9"/>
    <w:rsid w:val="0034215C"/>
    <w:rsid w:val="0034322C"/>
    <w:rsid w:val="003442EE"/>
    <w:rsid w:val="00345113"/>
    <w:rsid w:val="00345673"/>
    <w:rsid w:val="003460CC"/>
    <w:rsid w:val="003460D5"/>
    <w:rsid w:val="003479E3"/>
    <w:rsid w:val="00350CE2"/>
    <w:rsid w:val="00350E71"/>
    <w:rsid w:val="00351BF5"/>
    <w:rsid w:val="00352D83"/>
    <w:rsid w:val="00352E3C"/>
    <w:rsid w:val="00353F42"/>
    <w:rsid w:val="003540E8"/>
    <w:rsid w:val="00354B3D"/>
    <w:rsid w:val="00356533"/>
    <w:rsid w:val="00356C4A"/>
    <w:rsid w:val="003616D5"/>
    <w:rsid w:val="0036309F"/>
    <w:rsid w:val="003637E1"/>
    <w:rsid w:val="0036558F"/>
    <w:rsid w:val="00366E4B"/>
    <w:rsid w:val="00367D9C"/>
    <w:rsid w:val="00371D62"/>
    <w:rsid w:val="00374273"/>
    <w:rsid w:val="00375E56"/>
    <w:rsid w:val="003763BD"/>
    <w:rsid w:val="00376899"/>
    <w:rsid w:val="00376C62"/>
    <w:rsid w:val="00376F9D"/>
    <w:rsid w:val="0037778C"/>
    <w:rsid w:val="00380FEC"/>
    <w:rsid w:val="00382BD1"/>
    <w:rsid w:val="003865CE"/>
    <w:rsid w:val="00386A23"/>
    <w:rsid w:val="00392D30"/>
    <w:rsid w:val="00393014"/>
    <w:rsid w:val="00396ABF"/>
    <w:rsid w:val="003A379C"/>
    <w:rsid w:val="003A4C41"/>
    <w:rsid w:val="003A528D"/>
    <w:rsid w:val="003B27B2"/>
    <w:rsid w:val="003B3129"/>
    <w:rsid w:val="003B427E"/>
    <w:rsid w:val="003B554D"/>
    <w:rsid w:val="003B5606"/>
    <w:rsid w:val="003C038E"/>
    <w:rsid w:val="003C2160"/>
    <w:rsid w:val="003C26DB"/>
    <w:rsid w:val="003C33AE"/>
    <w:rsid w:val="003C770E"/>
    <w:rsid w:val="003D0666"/>
    <w:rsid w:val="003D0BB2"/>
    <w:rsid w:val="003D38E7"/>
    <w:rsid w:val="003D5DF2"/>
    <w:rsid w:val="003D7BD6"/>
    <w:rsid w:val="003E075B"/>
    <w:rsid w:val="003E1639"/>
    <w:rsid w:val="003E44BD"/>
    <w:rsid w:val="003E5250"/>
    <w:rsid w:val="003E53A8"/>
    <w:rsid w:val="003E6C8E"/>
    <w:rsid w:val="003E7200"/>
    <w:rsid w:val="003F0086"/>
    <w:rsid w:val="003F0D8C"/>
    <w:rsid w:val="003F22B3"/>
    <w:rsid w:val="003F3705"/>
    <w:rsid w:val="003F37A8"/>
    <w:rsid w:val="003F4106"/>
    <w:rsid w:val="004010E6"/>
    <w:rsid w:val="004019C5"/>
    <w:rsid w:val="00401E80"/>
    <w:rsid w:val="00403CFA"/>
    <w:rsid w:val="004073B2"/>
    <w:rsid w:val="00410014"/>
    <w:rsid w:val="00410C3B"/>
    <w:rsid w:val="00414443"/>
    <w:rsid w:val="00414F82"/>
    <w:rsid w:val="00415019"/>
    <w:rsid w:val="00416A78"/>
    <w:rsid w:val="004177BC"/>
    <w:rsid w:val="004225B9"/>
    <w:rsid w:val="00423749"/>
    <w:rsid w:val="0042387F"/>
    <w:rsid w:val="00423CB0"/>
    <w:rsid w:val="00427343"/>
    <w:rsid w:val="00427959"/>
    <w:rsid w:val="004314C1"/>
    <w:rsid w:val="00433D6F"/>
    <w:rsid w:val="004376C7"/>
    <w:rsid w:val="004416AB"/>
    <w:rsid w:val="00441A95"/>
    <w:rsid w:val="0044249A"/>
    <w:rsid w:val="00442E19"/>
    <w:rsid w:val="00444D06"/>
    <w:rsid w:val="004511D9"/>
    <w:rsid w:val="0045141C"/>
    <w:rsid w:val="004533C9"/>
    <w:rsid w:val="00453BD4"/>
    <w:rsid w:val="00453F64"/>
    <w:rsid w:val="004542F6"/>
    <w:rsid w:val="0045493A"/>
    <w:rsid w:val="00455EEB"/>
    <w:rsid w:val="004560B9"/>
    <w:rsid w:val="00457BD7"/>
    <w:rsid w:val="004606ED"/>
    <w:rsid w:val="0046096A"/>
    <w:rsid w:val="00460C14"/>
    <w:rsid w:val="00461406"/>
    <w:rsid w:val="00463FBA"/>
    <w:rsid w:val="004659E5"/>
    <w:rsid w:val="00467CEE"/>
    <w:rsid w:val="00472184"/>
    <w:rsid w:val="00474F75"/>
    <w:rsid w:val="0047521F"/>
    <w:rsid w:val="00477E4C"/>
    <w:rsid w:val="004812F6"/>
    <w:rsid w:val="00483D81"/>
    <w:rsid w:val="004842A1"/>
    <w:rsid w:val="0048482E"/>
    <w:rsid w:val="00484C13"/>
    <w:rsid w:val="0049050C"/>
    <w:rsid w:val="004908A4"/>
    <w:rsid w:val="004943C4"/>
    <w:rsid w:val="004952C4"/>
    <w:rsid w:val="00495AD6"/>
    <w:rsid w:val="0049747F"/>
    <w:rsid w:val="004A05EC"/>
    <w:rsid w:val="004A0A43"/>
    <w:rsid w:val="004A100E"/>
    <w:rsid w:val="004A1181"/>
    <w:rsid w:val="004A1A6B"/>
    <w:rsid w:val="004A290F"/>
    <w:rsid w:val="004A39B0"/>
    <w:rsid w:val="004A3EE4"/>
    <w:rsid w:val="004A4A95"/>
    <w:rsid w:val="004B0985"/>
    <w:rsid w:val="004B28E1"/>
    <w:rsid w:val="004B2F97"/>
    <w:rsid w:val="004B3AAE"/>
    <w:rsid w:val="004B79F9"/>
    <w:rsid w:val="004C1E4D"/>
    <w:rsid w:val="004C6584"/>
    <w:rsid w:val="004C7FD3"/>
    <w:rsid w:val="004D03D3"/>
    <w:rsid w:val="004D1125"/>
    <w:rsid w:val="004D1446"/>
    <w:rsid w:val="004D27E8"/>
    <w:rsid w:val="004D3AAD"/>
    <w:rsid w:val="004D440E"/>
    <w:rsid w:val="004D7975"/>
    <w:rsid w:val="004D7C1A"/>
    <w:rsid w:val="004D7FC6"/>
    <w:rsid w:val="004E0EA3"/>
    <w:rsid w:val="004E5802"/>
    <w:rsid w:val="004E6B2D"/>
    <w:rsid w:val="004F107C"/>
    <w:rsid w:val="004F1561"/>
    <w:rsid w:val="004F563E"/>
    <w:rsid w:val="00503004"/>
    <w:rsid w:val="005031F8"/>
    <w:rsid w:val="00503599"/>
    <w:rsid w:val="005040BE"/>
    <w:rsid w:val="0050422A"/>
    <w:rsid w:val="005065C2"/>
    <w:rsid w:val="005071B7"/>
    <w:rsid w:val="00511801"/>
    <w:rsid w:val="005138D1"/>
    <w:rsid w:val="005145B7"/>
    <w:rsid w:val="00515952"/>
    <w:rsid w:val="00520A43"/>
    <w:rsid w:val="00524AF7"/>
    <w:rsid w:val="0052515C"/>
    <w:rsid w:val="00527285"/>
    <w:rsid w:val="005306A9"/>
    <w:rsid w:val="005308F9"/>
    <w:rsid w:val="005330EC"/>
    <w:rsid w:val="005351E9"/>
    <w:rsid w:val="005379CF"/>
    <w:rsid w:val="00540A3A"/>
    <w:rsid w:val="00543C41"/>
    <w:rsid w:val="005441A6"/>
    <w:rsid w:val="00545907"/>
    <w:rsid w:val="00551573"/>
    <w:rsid w:val="00553F09"/>
    <w:rsid w:val="00556929"/>
    <w:rsid w:val="00556F0A"/>
    <w:rsid w:val="005632EA"/>
    <w:rsid w:val="00563B35"/>
    <w:rsid w:val="00566B72"/>
    <w:rsid w:val="00572A90"/>
    <w:rsid w:val="00573034"/>
    <w:rsid w:val="00573B70"/>
    <w:rsid w:val="00574C93"/>
    <w:rsid w:val="005752BF"/>
    <w:rsid w:val="00575EFA"/>
    <w:rsid w:val="00580552"/>
    <w:rsid w:val="00583C4C"/>
    <w:rsid w:val="00586829"/>
    <w:rsid w:val="0059068D"/>
    <w:rsid w:val="00592267"/>
    <w:rsid w:val="0059281C"/>
    <w:rsid w:val="00593ED5"/>
    <w:rsid w:val="00593F34"/>
    <w:rsid w:val="005A0C1F"/>
    <w:rsid w:val="005A42E3"/>
    <w:rsid w:val="005A7798"/>
    <w:rsid w:val="005B482B"/>
    <w:rsid w:val="005B57A4"/>
    <w:rsid w:val="005B5920"/>
    <w:rsid w:val="005B5A84"/>
    <w:rsid w:val="005B6B2F"/>
    <w:rsid w:val="005B6F29"/>
    <w:rsid w:val="005C0B88"/>
    <w:rsid w:val="005C1478"/>
    <w:rsid w:val="005C2B4D"/>
    <w:rsid w:val="005D2ABA"/>
    <w:rsid w:val="005D549B"/>
    <w:rsid w:val="005E2DCC"/>
    <w:rsid w:val="005E3BE7"/>
    <w:rsid w:val="005E6476"/>
    <w:rsid w:val="005E70F5"/>
    <w:rsid w:val="005E7A52"/>
    <w:rsid w:val="005F325F"/>
    <w:rsid w:val="005F5E11"/>
    <w:rsid w:val="005F778E"/>
    <w:rsid w:val="0060214B"/>
    <w:rsid w:val="006047ED"/>
    <w:rsid w:val="006062E7"/>
    <w:rsid w:val="00606601"/>
    <w:rsid w:val="00606E1B"/>
    <w:rsid w:val="00607287"/>
    <w:rsid w:val="006075B3"/>
    <w:rsid w:val="00607E31"/>
    <w:rsid w:val="00615165"/>
    <w:rsid w:val="00620F86"/>
    <w:rsid w:val="006213C0"/>
    <w:rsid w:val="0062585B"/>
    <w:rsid w:val="00625D4D"/>
    <w:rsid w:val="006310A3"/>
    <w:rsid w:val="00632241"/>
    <w:rsid w:val="006350A2"/>
    <w:rsid w:val="00635221"/>
    <w:rsid w:val="00637395"/>
    <w:rsid w:val="00641417"/>
    <w:rsid w:val="00644ED9"/>
    <w:rsid w:val="006515AA"/>
    <w:rsid w:val="00653BED"/>
    <w:rsid w:val="00654321"/>
    <w:rsid w:val="00654326"/>
    <w:rsid w:val="00656498"/>
    <w:rsid w:val="006577BE"/>
    <w:rsid w:val="00657FBF"/>
    <w:rsid w:val="00661012"/>
    <w:rsid w:val="006624CC"/>
    <w:rsid w:val="00662ED0"/>
    <w:rsid w:val="0066368A"/>
    <w:rsid w:val="00664575"/>
    <w:rsid w:val="00667148"/>
    <w:rsid w:val="00672579"/>
    <w:rsid w:val="00672870"/>
    <w:rsid w:val="006809E4"/>
    <w:rsid w:val="00682336"/>
    <w:rsid w:val="0068314D"/>
    <w:rsid w:val="0068317C"/>
    <w:rsid w:val="006872B1"/>
    <w:rsid w:val="00691E38"/>
    <w:rsid w:val="00692BD8"/>
    <w:rsid w:val="00697EF2"/>
    <w:rsid w:val="006A072B"/>
    <w:rsid w:val="006A13AB"/>
    <w:rsid w:val="006A1F93"/>
    <w:rsid w:val="006A2D8B"/>
    <w:rsid w:val="006A3927"/>
    <w:rsid w:val="006A39FF"/>
    <w:rsid w:val="006B06B8"/>
    <w:rsid w:val="006B0DA9"/>
    <w:rsid w:val="006B1225"/>
    <w:rsid w:val="006B1B76"/>
    <w:rsid w:val="006B262A"/>
    <w:rsid w:val="006B64A2"/>
    <w:rsid w:val="006B78B4"/>
    <w:rsid w:val="006C069B"/>
    <w:rsid w:val="006C08B9"/>
    <w:rsid w:val="006C0B52"/>
    <w:rsid w:val="006C53B8"/>
    <w:rsid w:val="006C5E01"/>
    <w:rsid w:val="006C73DA"/>
    <w:rsid w:val="006C79BC"/>
    <w:rsid w:val="006D159B"/>
    <w:rsid w:val="006D1927"/>
    <w:rsid w:val="006D4AB1"/>
    <w:rsid w:val="006D66E3"/>
    <w:rsid w:val="006E098B"/>
    <w:rsid w:val="006E3AA7"/>
    <w:rsid w:val="006E3DC5"/>
    <w:rsid w:val="006E4497"/>
    <w:rsid w:val="006E6AEA"/>
    <w:rsid w:val="006F5F91"/>
    <w:rsid w:val="006F6F7F"/>
    <w:rsid w:val="006F775F"/>
    <w:rsid w:val="00702176"/>
    <w:rsid w:val="00702743"/>
    <w:rsid w:val="00702C98"/>
    <w:rsid w:val="007037D1"/>
    <w:rsid w:val="007046C9"/>
    <w:rsid w:val="0070658B"/>
    <w:rsid w:val="0070753F"/>
    <w:rsid w:val="007102E4"/>
    <w:rsid w:val="007111A0"/>
    <w:rsid w:val="007128C6"/>
    <w:rsid w:val="00714580"/>
    <w:rsid w:val="00714CC2"/>
    <w:rsid w:val="00727EEC"/>
    <w:rsid w:val="00733427"/>
    <w:rsid w:val="00733BF0"/>
    <w:rsid w:val="00735097"/>
    <w:rsid w:val="007355A2"/>
    <w:rsid w:val="00736735"/>
    <w:rsid w:val="0073798D"/>
    <w:rsid w:val="00737DCA"/>
    <w:rsid w:val="0074026D"/>
    <w:rsid w:val="0074055A"/>
    <w:rsid w:val="00740664"/>
    <w:rsid w:val="00740955"/>
    <w:rsid w:val="0074278B"/>
    <w:rsid w:val="00742BCE"/>
    <w:rsid w:val="00742F02"/>
    <w:rsid w:val="00743800"/>
    <w:rsid w:val="007503F0"/>
    <w:rsid w:val="007519D7"/>
    <w:rsid w:val="0075371A"/>
    <w:rsid w:val="00753788"/>
    <w:rsid w:val="00755E50"/>
    <w:rsid w:val="007564EF"/>
    <w:rsid w:val="00756746"/>
    <w:rsid w:val="007567A8"/>
    <w:rsid w:val="00761C88"/>
    <w:rsid w:val="00762DC2"/>
    <w:rsid w:val="007673CD"/>
    <w:rsid w:val="007674F4"/>
    <w:rsid w:val="0077099C"/>
    <w:rsid w:val="0077375F"/>
    <w:rsid w:val="00773879"/>
    <w:rsid w:val="00773B94"/>
    <w:rsid w:val="00774570"/>
    <w:rsid w:val="00774CCA"/>
    <w:rsid w:val="00774DAE"/>
    <w:rsid w:val="00777016"/>
    <w:rsid w:val="007826BF"/>
    <w:rsid w:val="00782E19"/>
    <w:rsid w:val="007840B0"/>
    <w:rsid w:val="00786334"/>
    <w:rsid w:val="00786DAF"/>
    <w:rsid w:val="007903D6"/>
    <w:rsid w:val="00790828"/>
    <w:rsid w:val="00790FAF"/>
    <w:rsid w:val="007910D9"/>
    <w:rsid w:val="00796D05"/>
    <w:rsid w:val="00796E8E"/>
    <w:rsid w:val="00796F41"/>
    <w:rsid w:val="007A0A27"/>
    <w:rsid w:val="007A1507"/>
    <w:rsid w:val="007A175B"/>
    <w:rsid w:val="007A37AC"/>
    <w:rsid w:val="007A6A6E"/>
    <w:rsid w:val="007A7BBD"/>
    <w:rsid w:val="007A7D3D"/>
    <w:rsid w:val="007B0C8A"/>
    <w:rsid w:val="007B1AB5"/>
    <w:rsid w:val="007B2E72"/>
    <w:rsid w:val="007B2F4A"/>
    <w:rsid w:val="007B470F"/>
    <w:rsid w:val="007B6E03"/>
    <w:rsid w:val="007C09BD"/>
    <w:rsid w:val="007C1D94"/>
    <w:rsid w:val="007C38E4"/>
    <w:rsid w:val="007C65D1"/>
    <w:rsid w:val="007C6944"/>
    <w:rsid w:val="007C71BC"/>
    <w:rsid w:val="007D0812"/>
    <w:rsid w:val="007E1BF3"/>
    <w:rsid w:val="007E3F89"/>
    <w:rsid w:val="007E68AB"/>
    <w:rsid w:val="007F1B02"/>
    <w:rsid w:val="007F4B63"/>
    <w:rsid w:val="007F5185"/>
    <w:rsid w:val="007F522E"/>
    <w:rsid w:val="007F678D"/>
    <w:rsid w:val="00803B6F"/>
    <w:rsid w:val="00804ED8"/>
    <w:rsid w:val="008058C2"/>
    <w:rsid w:val="00806B39"/>
    <w:rsid w:val="00810A72"/>
    <w:rsid w:val="008138EB"/>
    <w:rsid w:val="00814CFD"/>
    <w:rsid w:val="008154FB"/>
    <w:rsid w:val="00816D34"/>
    <w:rsid w:val="008176C1"/>
    <w:rsid w:val="00817DE9"/>
    <w:rsid w:val="00821292"/>
    <w:rsid w:val="00821CB6"/>
    <w:rsid w:val="00823223"/>
    <w:rsid w:val="00827AD6"/>
    <w:rsid w:val="00830814"/>
    <w:rsid w:val="00832434"/>
    <w:rsid w:val="00833166"/>
    <w:rsid w:val="00833D13"/>
    <w:rsid w:val="008406B4"/>
    <w:rsid w:val="00842E7C"/>
    <w:rsid w:val="00843B6B"/>
    <w:rsid w:val="00845708"/>
    <w:rsid w:val="00845B05"/>
    <w:rsid w:val="00850E38"/>
    <w:rsid w:val="008535BE"/>
    <w:rsid w:val="008536B5"/>
    <w:rsid w:val="00857E16"/>
    <w:rsid w:val="00860C1A"/>
    <w:rsid w:val="0086139F"/>
    <w:rsid w:val="0086438F"/>
    <w:rsid w:val="0086452B"/>
    <w:rsid w:val="00865D65"/>
    <w:rsid w:val="00867359"/>
    <w:rsid w:val="00874DE6"/>
    <w:rsid w:val="0087557A"/>
    <w:rsid w:val="00875669"/>
    <w:rsid w:val="00875C63"/>
    <w:rsid w:val="00875D0F"/>
    <w:rsid w:val="00876D4A"/>
    <w:rsid w:val="008778B3"/>
    <w:rsid w:val="00877B2F"/>
    <w:rsid w:val="00877CA8"/>
    <w:rsid w:val="00880044"/>
    <w:rsid w:val="00880D7B"/>
    <w:rsid w:val="00880F24"/>
    <w:rsid w:val="008836EC"/>
    <w:rsid w:val="00885552"/>
    <w:rsid w:val="008857E2"/>
    <w:rsid w:val="00886034"/>
    <w:rsid w:val="00886AA2"/>
    <w:rsid w:val="008870D6"/>
    <w:rsid w:val="00890B54"/>
    <w:rsid w:val="0089237A"/>
    <w:rsid w:val="00892809"/>
    <w:rsid w:val="008941BC"/>
    <w:rsid w:val="00895357"/>
    <w:rsid w:val="0089551B"/>
    <w:rsid w:val="008A3590"/>
    <w:rsid w:val="008A4452"/>
    <w:rsid w:val="008B111C"/>
    <w:rsid w:val="008B3DE2"/>
    <w:rsid w:val="008B46E0"/>
    <w:rsid w:val="008B7963"/>
    <w:rsid w:val="008C1284"/>
    <w:rsid w:val="008C2400"/>
    <w:rsid w:val="008C29EA"/>
    <w:rsid w:val="008C4C64"/>
    <w:rsid w:val="008C75D8"/>
    <w:rsid w:val="008D37C9"/>
    <w:rsid w:val="008D4CB9"/>
    <w:rsid w:val="008D65E9"/>
    <w:rsid w:val="008D78C7"/>
    <w:rsid w:val="008D79E3"/>
    <w:rsid w:val="008D7A37"/>
    <w:rsid w:val="008E146E"/>
    <w:rsid w:val="008E4D02"/>
    <w:rsid w:val="008E5D71"/>
    <w:rsid w:val="008F14B9"/>
    <w:rsid w:val="008F1F9C"/>
    <w:rsid w:val="008F4B2B"/>
    <w:rsid w:val="008F50F1"/>
    <w:rsid w:val="008F55B9"/>
    <w:rsid w:val="008F5BE2"/>
    <w:rsid w:val="00900220"/>
    <w:rsid w:val="00900301"/>
    <w:rsid w:val="009070F8"/>
    <w:rsid w:val="009077FA"/>
    <w:rsid w:val="009106CD"/>
    <w:rsid w:val="009108B2"/>
    <w:rsid w:val="0091138C"/>
    <w:rsid w:val="00913B48"/>
    <w:rsid w:val="009143B6"/>
    <w:rsid w:val="0091442C"/>
    <w:rsid w:val="00914F7C"/>
    <w:rsid w:val="0091510A"/>
    <w:rsid w:val="00917A7A"/>
    <w:rsid w:val="00917CE6"/>
    <w:rsid w:val="00920854"/>
    <w:rsid w:val="0092219B"/>
    <w:rsid w:val="0092319C"/>
    <w:rsid w:val="009249F7"/>
    <w:rsid w:val="00925B80"/>
    <w:rsid w:val="0092638C"/>
    <w:rsid w:val="009301B7"/>
    <w:rsid w:val="00930E1C"/>
    <w:rsid w:val="00931DDB"/>
    <w:rsid w:val="0093308E"/>
    <w:rsid w:val="009343FE"/>
    <w:rsid w:val="00940091"/>
    <w:rsid w:val="00941B1D"/>
    <w:rsid w:val="00942231"/>
    <w:rsid w:val="00942896"/>
    <w:rsid w:val="00943D32"/>
    <w:rsid w:val="00945570"/>
    <w:rsid w:val="009526DF"/>
    <w:rsid w:val="0095458B"/>
    <w:rsid w:val="0095470F"/>
    <w:rsid w:val="009549DD"/>
    <w:rsid w:val="00955565"/>
    <w:rsid w:val="00957F99"/>
    <w:rsid w:val="00960121"/>
    <w:rsid w:val="00960156"/>
    <w:rsid w:val="009614C9"/>
    <w:rsid w:val="009623D0"/>
    <w:rsid w:val="00962672"/>
    <w:rsid w:val="00962C2A"/>
    <w:rsid w:val="009642BC"/>
    <w:rsid w:val="0096640A"/>
    <w:rsid w:val="00972461"/>
    <w:rsid w:val="009756AE"/>
    <w:rsid w:val="009802D4"/>
    <w:rsid w:val="00980AC0"/>
    <w:rsid w:val="00982F7D"/>
    <w:rsid w:val="00983631"/>
    <w:rsid w:val="00984336"/>
    <w:rsid w:val="00991FA0"/>
    <w:rsid w:val="009932C9"/>
    <w:rsid w:val="00996DAF"/>
    <w:rsid w:val="009A3101"/>
    <w:rsid w:val="009A3588"/>
    <w:rsid w:val="009A6177"/>
    <w:rsid w:val="009A7D57"/>
    <w:rsid w:val="009B0236"/>
    <w:rsid w:val="009B0490"/>
    <w:rsid w:val="009B08EB"/>
    <w:rsid w:val="009B0CC1"/>
    <w:rsid w:val="009B17D0"/>
    <w:rsid w:val="009B1DCA"/>
    <w:rsid w:val="009B5B40"/>
    <w:rsid w:val="009C18DE"/>
    <w:rsid w:val="009C6550"/>
    <w:rsid w:val="009C7078"/>
    <w:rsid w:val="009D1AFE"/>
    <w:rsid w:val="009D3152"/>
    <w:rsid w:val="009D3477"/>
    <w:rsid w:val="009D4BCB"/>
    <w:rsid w:val="009D4DCC"/>
    <w:rsid w:val="009D61F3"/>
    <w:rsid w:val="009D7C16"/>
    <w:rsid w:val="009E0B62"/>
    <w:rsid w:val="009E408C"/>
    <w:rsid w:val="009E417A"/>
    <w:rsid w:val="009E5CE4"/>
    <w:rsid w:val="009E655B"/>
    <w:rsid w:val="009F1839"/>
    <w:rsid w:val="009F1C8A"/>
    <w:rsid w:val="009F1D0B"/>
    <w:rsid w:val="009F4242"/>
    <w:rsid w:val="009F65A1"/>
    <w:rsid w:val="009F6D10"/>
    <w:rsid w:val="00A00BB2"/>
    <w:rsid w:val="00A0643C"/>
    <w:rsid w:val="00A12437"/>
    <w:rsid w:val="00A14DAD"/>
    <w:rsid w:val="00A167CE"/>
    <w:rsid w:val="00A2115D"/>
    <w:rsid w:val="00A215E2"/>
    <w:rsid w:val="00A221EC"/>
    <w:rsid w:val="00A2233D"/>
    <w:rsid w:val="00A234D6"/>
    <w:rsid w:val="00A26336"/>
    <w:rsid w:val="00A277A6"/>
    <w:rsid w:val="00A31E31"/>
    <w:rsid w:val="00A32A5B"/>
    <w:rsid w:val="00A3743E"/>
    <w:rsid w:val="00A37DE2"/>
    <w:rsid w:val="00A438CC"/>
    <w:rsid w:val="00A45176"/>
    <w:rsid w:val="00A46AAF"/>
    <w:rsid w:val="00A4758A"/>
    <w:rsid w:val="00A50264"/>
    <w:rsid w:val="00A51975"/>
    <w:rsid w:val="00A537AB"/>
    <w:rsid w:val="00A54F01"/>
    <w:rsid w:val="00A561DD"/>
    <w:rsid w:val="00A562FB"/>
    <w:rsid w:val="00A57956"/>
    <w:rsid w:val="00A6325C"/>
    <w:rsid w:val="00A6388C"/>
    <w:rsid w:val="00A70BB8"/>
    <w:rsid w:val="00A7161B"/>
    <w:rsid w:val="00A7429D"/>
    <w:rsid w:val="00A75433"/>
    <w:rsid w:val="00A75F6E"/>
    <w:rsid w:val="00A803D4"/>
    <w:rsid w:val="00A80B85"/>
    <w:rsid w:val="00A82138"/>
    <w:rsid w:val="00A84AD0"/>
    <w:rsid w:val="00A84B44"/>
    <w:rsid w:val="00A84F6E"/>
    <w:rsid w:val="00A85A70"/>
    <w:rsid w:val="00A85D9A"/>
    <w:rsid w:val="00A869CE"/>
    <w:rsid w:val="00A87C18"/>
    <w:rsid w:val="00A91220"/>
    <w:rsid w:val="00A92449"/>
    <w:rsid w:val="00A945B6"/>
    <w:rsid w:val="00A9462C"/>
    <w:rsid w:val="00A95B52"/>
    <w:rsid w:val="00A9608F"/>
    <w:rsid w:val="00AA6687"/>
    <w:rsid w:val="00AA7DDD"/>
    <w:rsid w:val="00AB0365"/>
    <w:rsid w:val="00AB3561"/>
    <w:rsid w:val="00AB38F9"/>
    <w:rsid w:val="00AB3C12"/>
    <w:rsid w:val="00AB7C78"/>
    <w:rsid w:val="00AC04C6"/>
    <w:rsid w:val="00AC0737"/>
    <w:rsid w:val="00AC115E"/>
    <w:rsid w:val="00AC2C4F"/>
    <w:rsid w:val="00AC39CD"/>
    <w:rsid w:val="00AC3B22"/>
    <w:rsid w:val="00AD2959"/>
    <w:rsid w:val="00AD2DB4"/>
    <w:rsid w:val="00AD2DD4"/>
    <w:rsid w:val="00AD31EB"/>
    <w:rsid w:val="00AD3EB2"/>
    <w:rsid w:val="00AE1A17"/>
    <w:rsid w:val="00AE237B"/>
    <w:rsid w:val="00AE6D2F"/>
    <w:rsid w:val="00AE7B1F"/>
    <w:rsid w:val="00AF1BA1"/>
    <w:rsid w:val="00AF2C0C"/>
    <w:rsid w:val="00B01ACF"/>
    <w:rsid w:val="00B04C48"/>
    <w:rsid w:val="00B10695"/>
    <w:rsid w:val="00B10897"/>
    <w:rsid w:val="00B13EAC"/>
    <w:rsid w:val="00B14784"/>
    <w:rsid w:val="00B14CD9"/>
    <w:rsid w:val="00B14F6E"/>
    <w:rsid w:val="00B22EB8"/>
    <w:rsid w:val="00B23386"/>
    <w:rsid w:val="00B262F8"/>
    <w:rsid w:val="00B30ED4"/>
    <w:rsid w:val="00B33EEC"/>
    <w:rsid w:val="00B4376A"/>
    <w:rsid w:val="00B4377D"/>
    <w:rsid w:val="00B46574"/>
    <w:rsid w:val="00B53E96"/>
    <w:rsid w:val="00B57664"/>
    <w:rsid w:val="00B576BB"/>
    <w:rsid w:val="00B60C24"/>
    <w:rsid w:val="00B62981"/>
    <w:rsid w:val="00B64140"/>
    <w:rsid w:val="00B738EE"/>
    <w:rsid w:val="00B74E15"/>
    <w:rsid w:val="00B75BBB"/>
    <w:rsid w:val="00B77C03"/>
    <w:rsid w:val="00B81D97"/>
    <w:rsid w:val="00B8286B"/>
    <w:rsid w:val="00B83742"/>
    <w:rsid w:val="00B84AAF"/>
    <w:rsid w:val="00B852B2"/>
    <w:rsid w:val="00B85EB5"/>
    <w:rsid w:val="00B85FB9"/>
    <w:rsid w:val="00B94236"/>
    <w:rsid w:val="00B944BC"/>
    <w:rsid w:val="00BA0D76"/>
    <w:rsid w:val="00BA169B"/>
    <w:rsid w:val="00BA1AD8"/>
    <w:rsid w:val="00BA27D4"/>
    <w:rsid w:val="00BA5A3E"/>
    <w:rsid w:val="00BA7325"/>
    <w:rsid w:val="00BB1B3D"/>
    <w:rsid w:val="00BB26CB"/>
    <w:rsid w:val="00BB3293"/>
    <w:rsid w:val="00BB3D7E"/>
    <w:rsid w:val="00BB78A9"/>
    <w:rsid w:val="00BB7E9E"/>
    <w:rsid w:val="00BC15C0"/>
    <w:rsid w:val="00BC1BCC"/>
    <w:rsid w:val="00BC206F"/>
    <w:rsid w:val="00BC2DAB"/>
    <w:rsid w:val="00BC4648"/>
    <w:rsid w:val="00BC6E7C"/>
    <w:rsid w:val="00BC6EE8"/>
    <w:rsid w:val="00BD1749"/>
    <w:rsid w:val="00BD3963"/>
    <w:rsid w:val="00BD45C9"/>
    <w:rsid w:val="00BD506D"/>
    <w:rsid w:val="00BE1475"/>
    <w:rsid w:val="00BE1939"/>
    <w:rsid w:val="00BE4990"/>
    <w:rsid w:val="00BE73D5"/>
    <w:rsid w:val="00BE7D9B"/>
    <w:rsid w:val="00BF06D5"/>
    <w:rsid w:val="00BF195D"/>
    <w:rsid w:val="00BF21B2"/>
    <w:rsid w:val="00BF5918"/>
    <w:rsid w:val="00BF6405"/>
    <w:rsid w:val="00C00828"/>
    <w:rsid w:val="00C03190"/>
    <w:rsid w:val="00C040A4"/>
    <w:rsid w:val="00C05BD6"/>
    <w:rsid w:val="00C06422"/>
    <w:rsid w:val="00C076E7"/>
    <w:rsid w:val="00C07C2A"/>
    <w:rsid w:val="00C07F02"/>
    <w:rsid w:val="00C11107"/>
    <w:rsid w:val="00C12E7A"/>
    <w:rsid w:val="00C12ED5"/>
    <w:rsid w:val="00C135D2"/>
    <w:rsid w:val="00C151EA"/>
    <w:rsid w:val="00C1736D"/>
    <w:rsid w:val="00C179E0"/>
    <w:rsid w:val="00C225E9"/>
    <w:rsid w:val="00C30595"/>
    <w:rsid w:val="00C32E36"/>
    <w:rsid w:val="00C34CB6"/>
    <w:rsid w:val="00C4010E"/>
    <w:rsid w:val="00C42226"/>
    <w:rsid w:val="00C503BF"/>
    <w:rsid w:val="00C51471"/>
    <w:rsid w:val="00C5354E"/>
    <w:rsid w:val="00C56BD1"/>
    <w:rsid w:val="00C604E7"/>
    <w:rsid w:val="00C60C6F"/>
    <w:rsid w:val="00C61CBE"/>
    <w:rsid w:val="00C63F13"/>
    <w:rsid w:val="00C70156"/>
    <w:rsid w:val="00C7092C"/>
    <w:rsid w:val="00C714AD"/>
    <w:rsid w:val="00C73CD3"/>
    <w:rsid w:val="00C767B5"/>
    <w:rsid w:val="00C82F6A"/>
    <w:rsid w:val="00C839FD"/>
    <w:rsid w:val="00C853C6"/>
    <w:rsid w:val="00C86C5A"/>
    <w:rsid w:val="00C92154"/>
    <w:rsid w:val="00C92986"/>
    <w:rsid w:val="00C94936"/>
    <w:rsid w:val="00C9501C"/>
    <w:rsid w:val="00C9630F"/>
    <w:rsid w:val="00CA0CF3"/>
    <w:rsid w:val="00CA162C"/>
    <w:rsid w:val="00CA191E"/>
    <w:rsid w:val="00CA290D"/>
    <w:rsid w:val="00CA309C"/>
    <w:rsid w:val="00CA5336"/>
    <w:rsid w:val="00CB1D11"/>
    <w:rsid w:val="00CB23FF"/>
    <w:rsid w:val="00CB4227"/>
    <w:rsid w:val="00CB51D6"/>
    <w:rsid w:val="00CB630B"/>
    <w:rsid w:val="00CB792E"/>
    <w:rsid w:val="00CC03A9"/>
    <w:rsid w:val="00CC1F2A"/>
    <w:rsid w:val="00CC1F3D"/>
    <w:rsid w:val="00CC33D3"/>
    <w:rsid w:val="00CC3D12"/>
    <w:rsid w:val="00CC527D"/>
    <w:rsid w:val="00CC75DE"/>
    <w:rsid w:val="00CD0112"/>
    <w:rsid w:val="00CD0FB2"/>
    <w:rsid w:val="00CD1414"/>
    <w:rsid w:val="00CD1FB3"/>
    <w:rsid w:val="00CD3A87"/>
    <w:rsid w:val="00CD4150"/>
    <w:rsid w:val="00CD60CA"/>
    <w:rsid w:val="00CE2A07"/>
    <w:rsid w:val="00CE2C18"/>
    <w:rsid w:val="00CF14FA"/>
    <w:rsid w:val="00CF5410"/>
    <w:rsid w:val="00D004A7"/>
    <w:rsid w:val="00D07238"/>
    <w:rsid w:val="00D074DE"/>
    <w:rsid w:val="00D1007D"/>
    <w:rsid w:val="00D13899"/>
    <w:rsid w:val="00D138B3"/>
    <w:rsid w:val="00D17722"/>
    <w:rsid w:val="00D26D5F"/>
    <w:rsid w:val="00D31A79"/>
    <w:rsid w:val="00D3236C"/>
    <w:rsid w:val="00D32ECA"/>
    <w:rsid w:val="00D33B55"/>
    <w:rsid w:val="00D354B6"/>
    <w:rsid w:val="00D41B24"/>
    <w:rsid w:val="00D430CF"/>
    <w:rsid w:val="00D57C54"/>
    <w:rsid w:val="00D6041F"/>
    <w:rsid w:val="00D63B3F"/>
    <w:rsid w:val="00D646BC"/>
    <w:rsid w:val="00D649D3"/>
    <w:rsid w:val="00D67BA7"/>
    <w:rsid w:val="00D71A5E"/>
    <w:rsid w:val="00D72533"/>
    <w:rsid w:val="00D72883"/>
    <w:rsid w:val="00D7483C"/>
    <w:rsid w:val="00D75C01"/>
    <w:rsid w:val="00D7793E"/>
    <w:rsid w:val="00D77EEE"/>
    <w:rsid w:val="00D83970"/>
    <w:rsid w:val="00D84E62"/>
    <w:rsid w:val="00D84F99"/>
    <w:rsid w:val="00D84FD0"/>
    <w:rsid w:val="00D853A6"/>
    <w:rsid w:val="00D85889"/>
    <w:rsid w:val="00D8702E"/>
    <w:rsid w:val="00D873C7"/>
    <w:rsid w:val="00D87470"/>
    <w:rsid w:val="00D87BA6"/>
    <w:rsid w:val="00D87BE0"/>
    <w:rsid w:val="00D903A0"/>
    <w:rsid w:val="00D90B5B"/>
    <w:rsid w:val="00D9360F"/>
    <w:rsid w:val="00D9448C"/>
    <w:rsid w:val="00D94550"/>
    <w:rsid w:val="00D94DCC"/>
    <w:rsid w:val="00D9597C"/>
    <w:rsid w:val="00DA0D6A"/>
    <w:rsid w:val="00DA1438"/>
    <w:rsid w:val="00DA596C"/>
    <w:rsid w:val="00DA66F1"/>
    <w:rsid w:val="00DB2BB7"/>
    <w:rsid w:val="00DB7089"/>
    <w:rsid w:val="00DB7CF4"/>
    <w:rsid w:val="00DB7FC7"/>
    <w:rsid w:val="00DC1089"/>
    <w:rsid w:val="00DC3CE5"/>
    <w:rsid w:val="00DC558A"/>
    <w:rsid w:val="00DD285D"/>
    <w:rsid w:val="00DD522D"/>
    <w:rsid w:val="00DD64C1"/>
    <w:rsid w:val="00DD666F"/>
    <w:rsid w:val="00DD68A5"/>
    <w:rsid w:val="00DD71E4"/>
    <w:rsid w:val="00DE282E"/>
    <w:rsid w:val="00DE5A23"/>
    <w:rsid w:val="00DE5EC4"/>
    <w:rsid w:val="00DF1783"/>
    <w:rsid w:val="00DF28A6"/>
    <w:rsid w:val="00DF29D0"/>
    <w:rsid w:val="00DF2BD6"/>
    <w:rsid w:val="00DF37E7"/>
    <w:rsid w:val="00DF71AD"/>
    <w:rsid w:val="00E00A18"/>
    <w:rsid w:val="00E01429"/>
    <w:rsid w:val="00E028F3"/>
    <w:rsid w:val="00E0308E"/>
    <w:rsid w:val="00E03F36"/>
    <w:rsid w:val="00E05B41"/>
    <w:rsid w:val="00E1216F"/>
    <w:rsid w:val="00E14E87"/>
    <w:rsid w:val="00E15570"/>
    <w:rsid w:val="00E16B80"/>
    <w:rsid w:val="00E21C33"/>
    <w:rsid w:val="00E26DF8"/>
    <w:rsid w:val="00E30661"/>
    <w:rsid w:val="00E322DE"/>
    <w:rsid w:val="00E3273E"/>
    <w:rsid w:val="00E32884"/>
    <w:rsid w:val="00E36437"/>
    <w:rsid w:val="00E366D8"/>
    <w:rsid w:val="00E36F98"/>
    <w:rsid w:val="00E43240"/>
    <w:rsid w:val="00E4365E"/>
    <w:rsid w:val="00E45310"/>
    <w:rsid w:val="00E469B7"/>
    <w:rsid w:val="00E508ED"/>
    <w:rsid w:val="00E51B50"/>
    <w:rsid w:val="00E5352D"/>
    <w:rsid w:val="00E53793"/>
    <w:rsid w:val="00E53FAE"/>
    <w:rsid w:val="00E54672"/>
    <w:rsid w:val="00E549F2"/>
    <w:rsid w:val="00E55736"/>
    <w:rsid w:val="00E5610E"/>
    <w:rsid w:val="00E563B4"/>
    <w:rsid w:val="00E60110"/>
    <w:rsid w:val="00E62E06"/>
    <w:rsid w:val="00E66516"/>
    <w:rsid w:val="00E667F8"/>
    <w:rsid w:val="00E70214"/>
    <w:rsid w:val="00E716EF"/>
    <w:rsid w:val="00E72407"/>
    <w:rsid w:val="00E739EB"/>
    <w:rsid w:val="00E750A9"/>
    <w:rsid w:val="00E82745"/>
    <w:rsid w:val="00E846FB"/>
    <w:rsid w:val="00E92B35"/>
    <w:rsid w:val="00E95015"/>
    <w:rsid w:val="00E96388"/>
    <w:rsid w:val="00E963C3"/>
    <w:rsid w:val="00E96AF5"/>
    <w:rsid w:val="00E96C23"/>
    <w:rsid w:val="00E97A9B"/>
    <w:rsid w:val="00EA4F63"/>
    <w:rsid w:val="00EA6FD4"/>
    <w:rsid w:val="00EA749D"/>
    <w:rsid w:val="00EB0B4E"/>
    <w:rsid w:val="00EB0DF8"/>
    <w:rsid w:val="00EB43DB"/>
    <w:rsid w:val="00EB4CFB"/>
    <w:rsid w:val="00EB6020"/>
    <w:rsid w:val="00EC0486"/>
    <w:rsid w:val="00EC2E02"/>
    <w:rsid w:val="00EC632B"/>
    <w:rsid w:val="00EC709C"/>
    <w:rsid w:val="00ED1178"/>
    <w:rsid w:val="00ED19BB"/>
    <w:rsid w:val="00ED1BDE"/>
    <w:rsid w:val="00ED4727"/>
    <w:rsid w:val="00ED50EB"/>
    <w:rsid w:val="00EE0410"/>
    <w:rsid w:val="00EE0708"/>
    <w:rsid w:val="00EE4672"/>
    <w:rsid w:val="00EE4F35"/>
    <w:rsid w:val="00EF1E28"/>
    <w:rsid w:val="00EF3B35"/>
    <w:rsid w:val="00F014CB"/>
    <w:rsid w:val="00F021A8"/>
    <w:rsid w:val="00F07F32"/>
    <w:rsid w:val="00F13132"/>
    <w:rsid w:val="00F15DE8"/>
    <w:rsid w:val="00F16341"/>
    <w:rsid w:val="00F20347"/>
    <w:rsid w:val="00F21AB6"/>
    <w:rsid w:val="00F22C1A"/>
    <w:rsid w:val="00F24E41"/>
    <w:rsid w:val="00F31A00"/>
    <w:rsid w:val="00F32975"/>
    <w:rsid w:val="00F37E0F"/>
    <w:rsid w:val="00F37EBF"/>
    <w:rsid w:val="00F41AC0"/>
    <w:rsid w:val="00F427AF"/>
    <w:rsid w:val="00F42F54"/>
    <w:rsid w:val="00F453D9"/>
    <w:rsid w:val="00F46D3F"/>
    <w:rsid w:val="00F47289"/>
    <w:rsid w:val="00F50A13"/>
    <w:rsid w:val="00F511F7"/>
    <w:rsid w:val="00F5585E"/>
    <w:rsid w:val="00F56F6D"/>
    <w:rsid w:val="00F57A8A"/>
    <w:rsid w:val="00F60FBF"/>
    <w:rsid w:val="00F60FF6"/>
    <w:rsid w:val="00F61BCA"/>
    <w:rsid w:val="00F6369C"/>
    <w:rsid w:val="00F6528F"/>
    <w:rsid w:val="00F654B8"/>
    <w:rsid w:val="00F65ACE"/>
    <w:rsid w:val="00F70981"/>
    <w:rsid w:val="00F70E53"/>
    <w:rsid w:val="00F71F6A"/>
    <w:rsid w:val="00F73500"/>
    <w:rsid w:val="00F74065"/>
    <w:rsid w:val="00F75441"/>
    <w:rsid w:val="00F81DE8"/>
    <w:rsid w:val="00F85C70"/>
    <w:rsid w:val="00F91C8A"/>
    <w:rsid w:val="00F9334A"/>
    <w:rsid w:val="00F94180"/>
    <w:rsid w:val="00F95863"/>
    <w:rsid w:val="00F96687"/>
    <w:rsid w:val="00F96FF8"/>
    <w:rsid w:val="00FA0562"/>
    <w:rsid w:val="00FA121C"/>
    <w:rsid w:val="00FA2DC1"/>
    <w:rsid w:val="00FA41BE"/>
    <w:rsid w:val="00FA4360"/>
    <w:rsid w:val="00FA5ECC"/>
    <w:rsid w:val="00FA7AD9"/>
    <w:rsid w:val="00FA7BF7"/>
    <w:rsid w:val="00FB011B"/>
    <w:rsid w:val="00FB1962"/>
    <w:rsid w:val="00FB4663"/>
    <w:rsid w:val="00FB4893"/>
    <w:rsid w:val="00FB7822"/>
    <w:rsid w:val="00FC1307"/>
    <w:rsid w:val="00FC45D6"/>
    <w:rsid w:val="00FC4DCD"/>
    <w:rsid w:val="00FD5238"/>
    <w:rsid w:val="00FD5F4D"/>
    <w:rsid w:val="00FE01A1"/>
    <w:rsid w:val="00FE461B"/>
    <w:rsid w:val="00FF09C2"/>
    <w:rsid w:val="00FF20ED"/>
    <w:rsid w:val="00FF3971"/>
    <w:rsid w:val="00FF46BF"/>
    <w:rsid w:val="00FF644C"/>
    <w:rsid w:val="00FF6F8F"/>
    <w:rsid w:val="00FF79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0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B17D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semiHidden/>
    <w:unhideWhenUsed/>
    <w:qFormat/>
    <w:rsid w:val="00121C31"/>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semiHidden/>
    <w:unhideWhenUsed/>
    <w:qFormat/>
    <w:rsid w:val="00086B65"/>
    <w:pPr>
      <w:keepNext/>
      <w:spacing w:before="240" w:after="60"/>
      <w:outlineLvl w:val="2"/>
    </w:pPr>
    <w:rPr>
      <w:rFonts w:ascii="Cambria" w:eastAsia="SimSun" w:hAnsi="Cambria"/>
      <w:b/>
      <w:bCs/>
      <w:sz w:val="26"/>
      <w:szCs w:val="26"/>
    </w:rPr>
  </w:style>
  <w:style w:type="paragraph" w:styleId="Heading5">
    <w:name w:val="heading 5"/>
    <w:basedOn w:val="Normal"/>
    <w:next w:val="Normal"/>
    <w:link w:val="Heading5Char"/>
    <w:qFormat/>
    <w:rsid w:val="00A277A6"/>
    <w:pPr>
      <w:keepLines/>
      <w:numPr>
        <w:ilvl w:val="4"/>
        <w:numId w:val="1"/>
      </w:numPr>
      <w:tabs>
        <w:tab w:val="left" w:pos="1200"/>
      </w:tabs>
      <w:spacing w:before="360" w:after="240" w:line="440" w:lineRule="atLeast"/>
      <w:outlineLvl w:val="4"/>
    </w:pPr>
    <w:rPr>
      <w:rFonts w:eastAsia="SimSun"/>
      <w:bCs/>
      <w:iCs/>
      <w:sz w:val="26"/>
      <w:szCs w:val="26"/>
      <w:lang w:val="en-SG" w:eastAsia="zh-CN"/>
    </w:rPr>
  </w:style>
  <w:style w:type="paragraph" w:styleId="Heading8">
    <w:name w:val="heading 8"/>
    <w:basedOn w:val="Normal"/>
    <w:next w:val="Normal"/>
    <w:link w:val="Heading8Char"/>
    <w:uiPriority w:val="9"/>
    <w:semiHidden/>
    <w:unhideWhenUsed/>
    <w:qFormat/>
    <w:rsid w:val="00796F41"/>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SectionText1">
    <w:name w:val="ExpSectionText(1)"/>
    <w:basedOn w:val="Normal"/>
    <w:rsid w:val="007F1B02"/>
    <w:pPr>
      <w:suppressLineNumbers/>
      <w:spacing w:before="120"/>
      <w:ind w:firstLine="284"/>
      <w:jc w:val="both"/>
    </w:pPr>
    <w:rPr>
      <w:sz w:val="22"/>
      <w:szCs w:val="20"/>
    </w:rPr>
  </w:style>
  <w:style w:type="paragraph" w:customStyle="1" w:styleId="ExpSectionTexta">
    <w:name w:val="ExpSectionText(a)"/>
    <w:basedOn w:val="Normal"/>
    <w:rsid w:val="007F1B02"/>
    <w:pPr>
      <w:suppressLineNumbers/>
      <w:spacing w:before="120"/>
      <w:ind w:left="952" w:hanging="476"/>
      <w:jc w:val="both"/>
    </w:pPr>
    <w:rPr>
      <w:sz w:val="22"/>
      <w:szCs w:val="20"/>
    </w:rPr>
  </w:style>
  <w:style w:type="table" w:styleId="TableGrid">
    <w:name w:val="Table Grid"/>
    <w:basedOn w:val="TableNormal"/>
    <w:rsid w:val="007F1B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B02"/>
    <w:pPr>
      <w:tabs>
        <w:tab w:val="center" w:pos="4320"/>
        <w:tab w:val="right" w:pos="8640"/>
      </w:tabs>
    </w:pPr>
  </w:style>
  <w:style w:type="character" w:customStyle="1" w:styleId="FooterChar">
    <w:name w:val="Footer Char"/>
    <w:basedOn w:val="DefaultParagraphFont"/>
    <w:link w:val="Footer"/>
    <w:uiPriority w:val="99"/>
    <w:rsid w:val="007F1B02"/>
    <w:rPr>
      <w:rFonts w:ascii="Times New Roman" w:eastAsia="Times New Roman" w:hAnsi="Times New Roman" w:cs="Times New Roman"/>
      <w:sz w:val="24"/>
      <w:szCs w:val="24"/>
      <w:lang w:eastAsia="en-US"/>
    </w:rPr>
  </w:style>
  <w:style w:type="character" w:styleId="PageNumber">
    <w:name w:val="page number"/>
    <w:basedOn w:val="DefaultParagraphFont"/>
    <w:rsid w:val="007F1B02"/>
  </w:style>
  <w:style w:type="paragraph" w:customStyle="1" w:styleId="ExpSectionTexti">
    <w:name w:val="ExpSectionText(i)"/>
    <w:basedOn w:val="Normal"/>
    <w:rsid w:val="00ED50EB"/>
    <w:pPr>
      <w:tabs>
        <w:tab w:val="right" w:pos="1350"/>
      </w:tabs>
      <w:spacing w:before="120"/>
      <w:ind w:left="1440" w:hanging="720"/>
      <w:jc w:val="both"/>
    </w:pPr>
    <w:rPr>
      <w:sz w:val="22"/>
      <w:szCs w:val="20"/>
    </w:rPr>
  </w:style>
  <w:style w:type="paragraph" w:customStyle="1" w:styleId="ExpSectionTextaN">
    <w:name w:val="ExpSectionText(a)N+"/>
    <w:basedOn w:val="Normal"/>
    <w:rsid w:val="00ED50EB"/>
    <w:pPr>
      <w:spacing w:before="120"/>
      <w:ind w:left="950"/>
      <w:jc w:val="both"/>
    </w:pPr>
    <w:rPr>
      <w:sz w:val="22"/>
      <w:szCs w:val="20"/>
    </w:rPr>
  </w:style>
  <w:style w:type="paragraph" w:styleId="BalloonText">
    <w:name w:val="Balloon Text"/>
    <w:basedOn w:val="Normal"/>
    <w:semiHidden/>
    <w:rsid w:val="0012678F"/>
    <w:rPr>
      <w:rFonts w:ascii="Tahoma" w:hAnsi="Tahoma" w:cs="Tahoma"/>
      <w:sz w:val="16"/>
      <w:szCs w:val="16"/>
    </w:rPr>
  </w:style>
  <w:style w:type="paragraph" w:styleId="ListParagraph">
    <w:name w:val="List Paragraph"/>
    <w:aliases w:val="Noise heading,RUS List,Credits,Number abc,a List Paragraph"/>
    <w:basedOn w:val="Normal"/>
    <w:link w:val="ListParagraphChar"/>
    <w:uiPriority w:val="34"/>
    <w:qFormat/>
    <w:rsid w:val="00C604E7"/>
    <w:pPr>
      <w:ind w:left="720"/>
    </w:pPr>
    <w:rPr>
      <w:sz w:val="20"/>
      <w:szCs w:val="20"/>
    </w:rPr>
  </w:style>
  <w:style w:type="character" w:styleId="FootnoteReference">
    <w:name w:val="footnote reference"/>
    <w:aliases w:val="FOOTNOTE,pre-cab,ftref,16 Point,Superscript 6 Point,fr"/>
    <w:basedOn w:val="DefaultParagraphFont"/>
    <w:uiPriority w:val="99"/>
    <w:rsid w:val="00EB0DF8"/>
    <w:rPr>
      <w:vertAlign w:val="superscript"/>
    </w:rPr>
  </w:style>
  <w:style w:type="paragraph" w:styleId="FootnoteText">
    <w:name w:val="footnote text"/>
    <w:aliases w:val=" Char2,Char2,Footnote Text Char1 Char,Footnote Text Char Char Char,Footnote Text Char1,Footnote Text Char Char,Footnote Text Char2 Char Char,Footnote Text Char1 Char Char Char,Footnote Text Char Char Char Char Char,Arial, Char,Char,Car"/>
    <w:basedOn w:val="Normal"/>
    <w:link w:val="FootnoteTextChar"/>
    <w:uiPriority w:val="99"/>
    <w:qFormat/>
    <w:rsid w:val="00EB0DF8"/>
    <w:pPr>
      <w:jc w:val="both"/>
    </w:pPr>
    <w:rPr>
      <w:sz w:val="20"/>
      <w:szCs w:val="20"/>
      <w:lang w:val="en-GB"/>
    </w:rPr>
  </w:style>
  <w:style w:type="character" w:customStyle="1" w:styleId="FootnoteTextChar">
    <w:name w:val="Footnote Text Char"/>
    <w:aliases w:val=" Char2 Char,Char2 Char,Footnote Text Char1 Char Char,Footnote Text Char Char Char Char,Footnote Text Char1 Char1,Footnote Text Char Char Char1,Footnote Text Char2 Char Char Char,Footnote Text Char1 Char Char Char Char,Arial Char"/>
    <w:basedOn w:val="DefaultParagraphFont"/>
    <w:link w:val="FootnoteText"/>
    <w:uiPriority w:val="99"/>
    <w:rsid w:val="00EB0DF8"/>
    <w:rPr>
      <w:rFonts w:ascii="Times New Roman" w:eastAsia="Times New Roman" w:hAnsi="Times New Roman"/>
      <w:lang w:val="en-GB" w:eastAsia="en-US"/>
    </w:rPr>
  </w:style>
  <w:style w:type="paragraph" w:styleId="PlainText">
    <w:name w:val="Plain Text"/>
    <w:basedOn w:val="Normal"/>
    <w:link w:val="PlainTextChar"/>
    <w:uiPriority w:val="99"/>
    <w:unhideWhenUsed/>
    <w:rsid w:val="007F522E"/>
    <w:rPr>
      <w:rFonts w:ascii="Arial" w:eastAsia="Calibri" w:hAnsi="Arial"/>
      <w:sz w:val="21"/>
      <w:szCs w:val="21"/>
      <w:lang w:val="en-SG"/>
    </w:rPr>
  </w:style>
  <w:style w:type="character" w:customStyle="1" w:styleId="PlainTextChar">
    <w:name w:val="Plain Text Char"/>
    <w:basedOn w:val="DefaultParagraphFont"/>
    <w:link w:val="PlainText"/>
    <w:uiPriority w:val="99"/>
    <w:rsid w:val="007F522E"/>
    <w:rPr>
      <w:rFonts w:ascii="Arial" w:eastAsia="Calibri" w:hAnsi="Arial"/>
      <w:sz w:val="21"/>
      <w:szCs w:val="21"/>
      <w:lang w:eastAsia="en-US"/>
    </w:rPr>
  </w:style>
  <w:style w:type="paragraph" w:styleId="BodyText2">
    <w:name w:val="Body Text 2"/>
    <w:basedOn w:val="Normal"/>
    <w:link w:val="BodyText2Char"/>
    <w:rsid w:val="0096640A"/>
    <w:pPr>
      <w:spacing w:after="120" w:line="480" w:lineRule="auto"/>
    </w:pPr>
    <w:rPr>
      <w:sz w:val="20"/>
      <w:szCs w:val="20"/>
    </w:rPr>
  </w:style>
  <w:style w:type="character" w:customStyle="1" w:styleId="BodyText2Char">
    <w:name w:val="Body Text 2 Char"/>
    <w:basedOn w:val="DefaultParagraphFont"/>
    <w:link w:val="BodyText2"/>
    <w:rsid w:val="0096640A"/>
    <w:rPr>
      <w:rFonts w:ascii="Times New Roman" w:eastAsia="Times New Roman" w:hAnsi="Times New Roman"/>
      <w:lang w:val="en-US" w:eastAsia="en-US"/>
    </w:rPr>
  </w:style>
  <w:style w:type="character" w:customStyle="1" w:styleId="Heading5Char">
    <w:name w:val="Heading 5 Char"/>
    <w:basedOn w:val="DefaultParagraphFont"/>
    <w:link w:val="Heading5"/>
    <w:rsid w:val="00A277A6"/>
    <w:rPr>
      <w:rFonts w:ascii="Times New Roman" w:hAnsi="Times New Roman"/>
      <w:bCs/>
      <w:iCs/>
      <w:sz w:val="26"/>
      <w:szCs w:val="26"/>
      <w:lang w:eastAsia="zh-CN"/>
    </w:rPr>
  </w:style>
  <w:style w:type="character" w:styleId="CommentReference">
    <w:name w:val="annotation reference"/>
    <w:basedOn w:val="DefaultParagraphFont"/>
    <w:semiHidden/>
    <w:rsid w:val="00A277A6"/>
    <w:rPr>
      <w:sz w:val="16"/>
      <w:szCs w:val="16"/>
    </w:rPr>
  </w:style>
  <w:style w:type="paragraph" w:styleId="CommentText">
    <w:name w:val="annotation text"/>
    <w:basedOn w:val="Normal"/>
    <w:link w:val="CommentTextChar"/>
    <w:semiHidden/>
    <w:rsid w:val="00A277A6"/>
    <w:rPr>
      <w:sz w:val="20"/>
      <w:szCs w:val="20"/>
    </w:rPr>
  </w:style>
  <w:style w:type="character" w:customStyle="1" w:styleId="CommentTextChar">
    <w:name w:val="Comment Text Char"/>
    <w:basedOn w:val="DefaultParagraphFont"/>
    <w:link w:val="CommentText"/>
    <w:semiHidden/>
    <w:rsid w:val="00A277A6"/>
    <w:rPr>
      <w:rFonts w:ascii="Times New Roman" w:eastAsia="Times New Roman" w:hAnsi="Times New Roman"/>
      <w:lang w:val="en-US" w:eastAsia="en-US"/>
    </w:rPr>
  </w:style>
  <w:style w:type="paragraph" w:customStyle="1" w:styleId="DefaultParagraphFontParaCharCharChar">
    <w:name w:val="Default Paragraph Font Para Char Char Char"/>
    <w:basedOn w:val="Normal"/>
    <w:rsid w:val="00A277A6"/>
    <w:pPr>
      <w:spacing w:after="160" w:line="240" w:lineRule="exact"/>
    </w:pPr>
    <w:rPr>
      <w:rFonts w:ascii="Verdana" w:hAnsi="Verdana"/>
      <w:sz w:val="20"/>
      <w:szCs w:val="20"/>
    </w:rPr>
  </w:style>
  <w:style w:type="paragraph" w:customStyle="1" w:styleId="SLName">
    <w:name w:val="SLName"/>
    <w:basedOn w:val="Normal"/>
    <w:rsid w:val="001562A0"/>
    <w:pPr>
      <w:keepNext/>
      <w:keepLines/>
      <w:spacing w:before="120"/>
      <w:jc w:val="center"/>
    </w:pPr>
    <w:rPr>
      <w:caps/>
      <w:sz w:val="26"/>
      <w:szCs w:val="20"/>
      <w:lang w:val="en-GB"/>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rFonts w:ascii="Times New Roman" w:eastAsia="Times New Roman" w:hAnsi="Times New Roman"/>
      <w:b/>
      <w:bCs/>
      <w:lang w:val="en-US" w:eastAsia="en-US"/>
    </w:rPr>
  </w:style>
  <w:style w:type="character" w:styleId="Hyperlink">
    <w:name w:val="Hyperlink"/>
    <w:basedOn w:val="DefaultParagraphFont"/>
    <w:uiPriority w:val="99"/>
    <w:unhideWhenUsed/>
    <w:rsid w:val="002114C1"/>
    <w:rPr>
      <w:color w:val="0000FF"/>
      <w:u w:val="single"/>
    </w:rPr>
  </w:style>
  <w:style w:type="character" w:customStyle="1" w:styleId="Heading2Char">
    <w:name w:val="Heading 2 Char"/>
    <w:basedOn w:val="DefaultParagraphFont"/>
    <w:link w:val="Heading2"/>
    <w:rsid w:val="00121C31"/>
    <w:rPr>
      <w:rFonts w:ascii="Cambria" w:eastAsia="SimSun" w:hAnsi="Cambria" w:cs="Times New Roman"/>
      <w:b/>
      <w:bCs/>
      <w:i/>
      <w:iCs/>
      <w:sz w:val="28"/>
      <w:szCs w:val="28"/>
      <w:lang w:val="en-US" w:eastAsia="en-US"/>
    </w:rPr>
  </w:style>
  <w:style w:type="character" w:customStyle="1" w:styleId="Heading1Char">
    <w:name w:val="Heading 1 Char"/>
    <w:basedOn w:val="DefaultParagraphFont"/>
    <w:link w:val="Heading1"/>
    <w:rsid w:val="009B17D0"/>
    <w:rPr>
      <w:rFonts w:ascii="Cambria" w:eastAsia="SimSun" w:hAnsi="Cambria" w:cs="Times New Roman"/>
      <w:b/>
      <w:bCs/>
      <w:kern w:val="32"/>
      <w:sz w:val="32"/>
      <w:szCs w:val="32"/>
      <w:lang w:val="en-US" w:eastAsia="en-US"/>
    </w:rPr>
  </w:style>
  <w:style w:type="character" w:customStyle="1" w:styleId="Heading8Char">
    <w:name w:val="Heading 8 Char"/>
    <w:basedOn w:val="DefaultParagraphFont"/>
    <w:link w:val="Heading8"/>
    <w:rsid w:val="00796F41"/>
    <w:rPr>
      <w:rFonts w:ascii="Calibri" w:eastAsia="SimSun" w:hAnsi="Calibri" w:cs="Times New Roman"/>
      <w:i/>
      <w:iCs/>
      <w:sz w:val="24"/>
      <w:szCs w:val="24"/>
      <w:lang w:val="en-US" w:eastAsia="en-US"/>
    </w:rPr>
  </w:style>
  <w:style w:type="character" w:customStyle="1" w:styleId="Heading3Char">
    <w:name w:val="Heading 3 Char"/>
    <w:basedOn w:val="DefaultParagraphFont"/>
    <w:link w:val="Heading3"/>
    <w:rsid w:val="00086B65"/>
    <w:rPr>
      <w:rFonts w:ascii="Cambria" w:eastAsia="SimSun" w:hAnsi="Cambria" w:cs="Times New Roman"/>
      <w:b/>
      <w:bCs/>
      <w:sz w:val="26"/>
      <w:szCs w:val="26"/>
      <w:lang w:val="en-US" w:eastAsia="en-US"/>
    </w:rPr>
  </w:style>
  <w:style w:type="paragraph" w:styleId="NormalWeb">
    <w:name w:val="Normal (Web)"/>
    <w:basedOn w:val="Normal"/>
    <w:uiPriority w:val="99"/>
    <w:unhideWhenUsed/>
    <w:rsid w:val="0086438F"/>
    <w:pPr>
      <w:spacing w:before="100" w:beforeAutospacing="1" w:after="100" w:afterAutospacing="1"/>
    </w:pPr>
    <w:rPr>
      <w:rFonts w:eastAsia="Calibri"/>
      <w:lang w:val="en-SG" w:eastAsia="en-SG"/>
    </w:rPr>
  </w:style>
  <w:style w:type="paragraph" w:customStyle="1" w:styleId="Default">
    <w:name w:val="Default"/>
    <w:uiPriority w:val="99"/>
    <w:rsid w:val="006213C0"/>
    <w:pPr>
      <w:autoSpaceDE w:val="0"/>
      <w:autoSpaceDN w:val="0"/>
      <w:adjustRightInd w:val="0"/>
    </w:pPr>
    <w:rPr>
      <w:rFonts w:ascii="Times New Roman" w:hAnsi="Times New Roman"/>
      <w:color w:val="000000"/>
      <w:sz w:val="24"/>
      <w:szCs w:val="24"/>
      <w:lang w:val="en-GB" w:eastAsia="zh-CN"/>
    </w:rPr>
  </w:style>
  <w:style w:type="character" w:customStyle="1" w:styleId="ListParagraphChar">
    <w:name w:val="List Paragraph Char"/>
    <w:aliases w:val="Noise heading Char,RUS List Char,Credits Char,Number abc Char,a List Paragraph Char"/>
    <w:basedOn w:val="DefaultParagraphFont"/>
    <w:link w:val="ListParagraph"/>
    <w:uiPriority w:val="34"/>
    <w:locked/>
    <w:rsid w:val="00F74065"/>
    <w:rPr>
      <w:rFonts w:ascii="Times New Roman" w:eastAsia="Times New Roman" w:hAnsi="Times New Roman"/>
      <w:lang w:val="en-US" w:eastAsia="en-US"/>
    </w:rPr>
  </w:style>
  <w:style w:type="paragraph" w:styleId="Revision">
    <w:name w:val="Revision"/>
    <w:hidden/>
    <w:uiPriority w:val="99"/>
    <w:semiHidden/>
    <w:rsid w:val="009F65A1"/>
    <w:rPr>
      <w:rFonts w:ascii="Times New Roman" w:eastAsia="Times New Roman" w:hAnsi="Times New Roman"/>
      <w:sz w:val="24"/>
      <w:szCs w:val="24"/>
      <w:lang w:val="en-US" w:eastAsia="en-US"/>
    </w:rPr>
  </w:style>
  <w:style w:type="paragraph" w:styleId="Header">
    <w:name w:val="header"/>
    <w:basedOn w:val="Normal"/>
    <w:link w:val="HeaderChar"/>
    <w:uiPriority w:val="99"/>
    <w:semiHidden/>
    <w:unhideWhenUsed/>
    <w:rsid w:val="0006698B"/>
    <w:pPr>
      <w:tabs>
        <w:tab w:val="center" w:pos="4513"/>
        <w:tab w:val="right" w:pos="9026"/>
      </w:tabs>
    </w:pPr>
  </w:style>
  <w:style w:type="character" w:customStyle="1" w:styleId="HeaderChar">
    <w:name w:val="Header Char"/>
    <w:basedOn w:val="DefaultParagraphFont"/>
    <w:link w:val="Header"/>
    <w:uiPriority w:val="99"/>
    <w:semiHidden/>
    <w:rsid w:val="0006698B"/>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821292"/>
    <w:rPr>
      <w:i/>
      <w:iCs/>
    </w:rPr>
  </w:style>
  <w:style w:type="paragraph" w:customStyle="1" w:styleId="PMAns">
    <w:name w:val="PM Ans"/>
    <w:basedOn w:val="Normal"/>
    <w:link w:val="PMAnsChar"/>
    <w:qFormat/>
    <w:rsid w:val="00D32ECA"/>
    <w:pPr>
      <w:spacing w:before="120" w:after="240" w:line="276" w:lineRule="auto"/>
      <w:jc w:val="both"/>
    </w:pPr>
    <w:rPr>
      <w:rFonts w:eastAsia="SimSun"/>
      <w:sz w:val="26"/>
      <w:szCs w:val="26"/>
    </w:rPr>
  </w:style>
  <w:style w:type="character" w:customStyle="1" w:styleId="PMAnsChar">
    <w:name w:val="PM Ans Char"/>
    <w:basedOn w:val="DefaultParagraphFont"/>
    <w:link w:val="PMAns"/>
    <w:rsid w:val="00D32ECA"/>
    <w:rPr>
      <w:rFonts w:ascii="Times New Roman" w:hAnsi="Times New Roman"/>
      <w:sz w:val="26"/>
      <w:szCs w:val="26"/>
      <w:lang w:val="en-US" w:eastAsia="en-US"/>
    </w:rPr>
  </w:style>
  <w:style w:type="paragraph" w:customStyle="1" w:styleId="ContentinTable">
    <w:name w:val="Content in Table"/>
    <w:basedOn w:val="Normal"/>
    <w:uiPriority w:val="99"/>
    <w:qFormat/>
    <w:rsid w:val="00F453D9"/>
    <w:pPr>
      <w:autoSpaceDE w:val="0"/>
      <w:autoSpaceDN w:val="0"/>
      <w:adjustRightInd w:val="0"/>
      <w:spacing w:before="120" w:after="240" w:line="276" w:lineRule="auto"/>
      <w:ind w:right="57"/>
      <w:jc w:val="both"/>
    </w:pPr>
    <w:rPr>
      <w:rFonts w:eastAsia="Calibri"/>
      <w:sz w:val="28"/>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0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B17D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semiHidden/>
    <w:unhideWhenUsed/>
    <w:qFormat/>
    <w:rsid w:val="00121C31"/>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semiHidden/>
    <w:unhideWhenUsed/>
    <w:qFormat/>
    <w:rsid w:val="00086B65"/>
    <w:pPr>
      <w:keepNext/>
      <w:spacing w:before="240" w:after="60"/>
      <w:outlineLvl w:val="2"/>
    </w:pPr>
    <w:rPr>
      <w:rFonts w:ascii="Cambria" w:eastAsia="SimSun" w:hAnsi="Cambria"/>
      <w:b/>
      <w:bCs/>
      <w:sz w:val="26"/>
      <w:szCs w:val="26"/>
    </w:rPr>
  </w:style>
  <w:style w:type="paragraph" w:styleId="Heading5">
    <w:name w:val="heading 5"/>
    <w:basedOn w:val="Normal"/>
    <w:next w:val="Normal"/>
    <w:link w:val="Heading5Char"/>
    <w:qFormat/>
    <w:rsid w:val="00A277A6"/>
    <w:pPr>
      <w:keepLines/>
      <w:numPr>
        <w:ilvl w:val="4"/>
        <w:numId w:val="1"/>
      </w:numPr>
      <w:tabs>
        <w:tab w:val="left" w:pos="1200"/>
      </w:tabs>
      <w:spacing w:before="360" w:after="240" w:line="440" w:lineRule="atLeast"/>
      <w:outlineLvl w:val="4"/>
    </w:pPr>
    <w:rPr>
      <w:rFonts w:eastAsia="SimSun"/>
      <w:bCs/>
      <w:iCs/>
      <w:sz w:val="26"/>
      <w:szCs w:val="26"/>
      <w:lang w:val="en-SG" w:eastAsia="zh-CN"/>
    </w:rPr>
  </w:style>
  <w:style w:type="paragraph" w:styleId="Heading8">
    <w:name w:val="heading 8"/>
    <w:basedOn w:val="Normal"/>
    <w:next w:val="Normal"/>
    <w:link w:val="Heading8Char"/>
    <w:uiPriority w:val="9"/>
    <w:semiHidden/>
    <w:unhideWhenUsed/>
    <w:qFormat/>
    <w:rsid w:val="00796F41"/>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SectionText1">
    <w:name w:val="ExpSectionText(1)"/>
    <w:basedOn w:val="Normal"/>
    <w:rsid w:val="007F1B02"/>
    <w:pPr>
      <w:suppressLineNumbers/>
      <w:spacing w:before="120"/>
      <w:ind w:firstLine="284"/>
      <w:jc w:val="both"/>
    </w:pPr>
    <w:rPr>
      <w:sz w:val="22"/>
      <w:szCs w:val="20"/>
    </w:rPr>
  </w:style>
  <w:style w:type="paragraph" w:customStyle="1" w:styleId="ExpSectionTexta">
    <w:name w:val="ExpSectionText(a)"/>
    <w:basedOn w:val="Normal"/>
    <w:rsid w:val="007F1B02"/>
    <w:pPr>
      <w:suppressLineNumbers/>
      <w:spacing w:before="120"/>
      <w:ind w:left="952" w:hanging="476"/>
      <w:jc w:val="both"/>
    </w:pPr>
    <w:rPr>
      <w:sz w:val="22"/>
      <w:szCs w:val="20"/>
    </w:rPr>
  </w:style>
  <w:style w:type="table" w:styleId="TableGrid">
    <w:name w:val="Table Grid"/>
    <w:basedOn w:val="TableNormal"/>
    <w:rsid w:val="007F1B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B02"/>
    <w:pPr>
      <w:tabs>
        <w:tab w:val="center" w:pos="4320"/>
        <w:tab w:val="right" w:pos="8640"/>
      </w:tabs>
    </w:pPr>
  </w:style>
  <w:style w:type="character" w:customStyle="1" w:styleId="FooterChar">
    <w:name w:val="Footer Char"/>
    <w:basedOn w:val="DefaultParagraphFont"/>
    <w:link w:val="Footer"/>
    <w:uiPriority w:val="99"/>
    <w:rsid w:val="007F1B02"/>
    <w:rPr>
      <w:rFonts w:ascii="Times New Roman" w:eastAsia="Times New Roman" w:hAnsi="Times New Roman" w:cs="Times New Roman"/>
      <w:sz w:val="24"/>
      <w:szCs w:val="24"/>
      <w:lang w:eastAsia="en-US"/>
    </w:rPr>
  </w:style>
  <w:style w:type="character" w:styleId="PageNumber">
    <w:name w:val="page number"/>
    <w:basedOn w:val="DefaultParagraphFont"/>
    <w:rsid w:val="007F1B02"/>
  </w:style>
  <w:style w:type="paragraph" w:customStyle="1" w:styleId="ExpSectionTexti">
    <w:name w:val="ExpSectionText(i)"/>
    <w:basedOn w:val="Normal"/>
    <w:rsid w:val="00ED50EB"/>
    <w:pPr>
      <w:tabs>
        <w:tab w:val="right" w:pos="1350"/>
      </w:tabs>
      <w:spacing w:before="120"/>
      <w:ind w:left="1440" w:hanging="720"/>
      <w:jc w:val="both"/>
    </w:pPr>
    <w:rPr>
      <w:sz w:val="22"/>
      <w:szCs w:val="20"/>
    </w:rPr>
  </w:style>
  <w:style w:type="paragraph" w:customStyle="1" w:styleId="ExpSectionTextaN">
    <w:name w:val="ExpSectionText(a)N+"/>
    <w:basedOn w:val="Normal"/>
    <w:rsid w:val="00ED50EB"/>
    <w:pPr>
      <w:spacing w:before="120"/>
      <w:ind w:left="950"/>
      <w:jc w:val="both"/>
    </w:pPr>
    <w:rPr>
      <w:sz w:val="22"/>
      <w:szCs w:val="20"/>
    </w:rPr>
  </w:style>
  <w:style w:type="paragraph" w:styleId="BalloonText">
    <w:name w:val="Balloon Text"/>
    <w:basedOn w:val="Normal"/>
    <w:semiHidden/>
    <w:rsid w:val="0012678F"/>
    <w:rPr>
      <w:rFonts w:ascii="Tahoma" w:hAnsi="Tahoma" w:cs="Tahoma"/>
      <w:sz w:val="16"/>
      <w:szCs w:val="16"/>
    </w:rPr>
  </w:style>
  <w:style w:type="paragraph" w:styleId="ListParagraph">
    <w:name w:val="List Paragraph"/>
    <w:aliases w:val="Noise heading,RUS List,Credits,Number abc,a List Paragraph"/>
    <w:basedOn w:val="Normal"/>
    <w:link w:val="ListParagraphChar"/>
    <w:uiPriority w:val="34"/>
    <w:qFormat/>
    <w:rsid w:val="00C604E7"/>
    <w:pPr>
      <w:ind w:left="720"/>
    </w:pPr>
    <w:rPr>
      <w:sz w:val="20"/>
      <w:szCs w:val="20"/>
    </w:rPr>
  </w:style>
  <w:style w:type="character" w:styleId="FootnoteReference">
    <w:name w:val="footnote reference"/>
    <w:aliases w:val="FOOTNOTE,pre-cab,ftref,16 Point,Superscript 6 Point,fr"/>
    <w:basedOn w:val="DefaultParagraphFont"/>
    <w:uiPriority w:val="99"/>
    <w:rsid w:val="00EB0DF8"/>
    <w:rPr>
      <w:vertAlign w:val="superscript"/>
    </w:rPr>
  </w:style>
  <w:style w:type="paragraph" w:styleId="FootnoteText">
    <w:name w:val="footnote text"/>
    <w:aliases w:val=" Char2,Char2,Footnote Text Char1 Char,Footnote Text Char Char Char,Footnote Text Char1,Footnote Text Char Char,Footnote Text Char2 Char Char,Footnote Text Char1 Char Char Char,Footnote Text Char Char Char Char Char,Arial, Char,Char,Car"/>
    <w:basedOn w:val="Normal"/>
    <w:link w:val="FootnoteTextChar"/>
    <w:uiPriority w:val="99"/>
    <w:qFormat/>
    <w:rsid w:val="00EB0DF8"/>
    <w:pPr>
      <w:jc w:val="both"/>
    </w:pPr>
    <w:rPr>
      <w:sz w:val="20"/>
      <w:szCs w:val="20"/>
      <w:lang w:val="en-GB"/>
    </w:rPr>
  </w:style>
  <w:style w:type="character" w:customStyle="1" w:styleId="FootnoteTextChar">
    <w:name w:val="Footnote Text Char"/>
    <w:aliases w:val=" Char2 Char,Char2 Char,Footnote Text Char1 Char Char,Footnote Text Char Char Char Char,Footnote Text Char1 Char1,Footnote Text Char Char Char1,Footnote Text Char2 Char Char Char,Footnote Text Char1 Char Char Char Char,Arial Char"/>
    <w:basedOn w:val="DefaultParagraphFont"/>
    <w:link w:val="FootnoteText"/>
    <w:uiPriority w:val="99"/>
    <w:rsid w:val="00EB0DF8"/>
    <w:rPr>
      <w:rFonts w:ascii="Times New Roman" w:eastAsia="Times New Roman" w:hAnsi="Times New Roman"/>
      <w:lang w:val="en-GB" w:eastAsia="en-US"/>
    </w:rPr>
  </w:style>
  <w:style w:type="paragraph" w:styleId="PlainText">
    <w:name w:val="Plain Text"/>
    <w:basedOn w:val="Normal"/>
    <w:link w:val="PlainTextChar"/>
    <w:uiPriority w:val="99"/>
    <w:unhideWhenUsed/>
    <w:rsid w:val="007F522E"/>
    <w:rPr>
      <w:rFonts w:ascii="Arial" w:eastAsia="Calibri" w:hAnsi="Arial"/>
      <w:sz w:val="21"/>
      <w:szCs w:val="21"/>
      <w:lang w:val="en-SG"/>
    </w:rPr>
  </w:style>
  <w:style w:type="character" w:customStyle="1" w:styleId="PlainTextChar">
    <w:name w:val="Plain Text Char"/>
    <w:basedOn w:val="DefaultParagraphFont"/>
    <w:link w:val="PlainText"/>
    <w:uiPriority w:val="99"/>
    <w:rsid w:val="007F522E"/>
    <w:rPr>
      <w:rFonts w:ascii="Arial" w:eastAsia="Calibri" w:hAnsi="Arial"/>
      <w:sz w:val="21"/>
      <w:szCs w:val="21"/>
      <w:lang w:eastAsia="en-US"/>
    </w:rPr>
  </w:style>
  <w:style w:type="paragraph" w:styleId="BodyText2">
    <w:name w:val="Body Text 2"/>
    <w:basedOn w:val="Normal"/>
    <w:link w:val="BodyText2Char"/>
    <w:rsid w:val="0096640A"/>
    <w:pPr>
      <w:spacing w:after="120" w:line="480" w:lineRule="auto"/>
    </w:pPr>
    <w:rPr>
      <w:sz w:val="20"/>
      <w:szCs w:val="20"/>
    </w:rPr>
  </w:style>
  <w:style w:type="character" w:customStyle="1" w:styleId="BodyText2Char">
    <w:name w:val="Body Text 2 Char"/>
    <w:basedOn w:val="DefaultParagraphFont"/>
    <w:link w:val="BodyText2"/>
    <w:rsid w:val="0096640A"/>
    <w:rPr>
      <w:rFonts w:ascii="Times New Roman" w:eastAsia="Times New Roman" w:hAnsi="Times New Roman"/>
      <w:lang w:val="en-US" w:eastAsia="en-US"/>
    </w:rPr>
  </w:style>
  <w:style w:type="character" w:customStyle="1" w:styleId="Heading5Char">
    <w:name w:val="Heading 5 Char"/>
    <w:basedOn w:val="DefaultParagraphFont"/>
    <w:link w:val="Heading5"/>
    <w:rsid w:val="00A277A6"/>
    <w:rPr>
      <w:rFonts w:ascii="Times New Roman" w:hAnsi="Times New Roman"/>
      <w:bCs/>
      <w:iCs/>
      <w:sz w:val="26"/>
      <w:szCs w:val="26"/>
      <w:lang w:eastAsia="zh-CN"/>
    </w:rPr>
  </w:style>
  <w:style w:type="character" w:styleId="CommentReference">
    <w:name w:val="annotation reference"/>
    <w:basedOn w:val="DefaultParagraphFont"/>
    <w:semiHidden/>
    <w:rsid w:val="00A277A6"/>
    <w:rPr>
      <w:sz w:val="16"/>
      <w:szCs w:val="16"/>
    </w:rPr>
  </w:style>
  <w:style w:type="paragraph" w:styleId="CommentText">
    <w:name w:val="annotation text"/>
    <w:basedOn w:val="Normal"/>
    <w:link w:val="CommentTextChar"/>
    <w:semiHidden/>
    <w:rsid w:val="00A277A6"/>
    <w:rPr>
      <w:sz w:val="20"/>
      <w:szCs w:val="20"/>
    </w:rPr>
  </w:style>
  <w:style w:type="character" w:customStyle="1" w:styleId="CommentTextChar">
    <w:name w:val="Comment Text Char"/>
    <w:basedOn w:val="DefaultParagraphFont"/>
    <w:link w:val="CommentText"/>
    <w:semiHidden/>
    <w:rsid w:val="00A277A6"/>
    <w:rPr>
      <w:rFonts w:ascii="Times New Roman" w:eastAsia="Times New Roman" w:hAnsi="Times New Roman"/>
      <w:lang w:val="en-US" w:eastAsia="en-US"/>
    </w:rPr>
  </w:style>
  <w:style w:type="paragraph" w:customStyle="1" w:styleId="DefaultParagraphFontParaCharCharChar">
    <w:name w:val="Default Paragraph Font Para Char Char Char"/>
    <w:basedOn w:val="Normal"/>
    <w:rsid w:val="00A277A6"/>
    <w:pPr>
      <w:spacing w:after="160" w:line="240" w:lineRule="exact"/>
    </w:pPr>
    <w:rPr>
      <w:rFonts w:ascii="Verdana" w:hAnsi="Verdana"/>
      <w:sz w:val="20"/>
      <w:szCs w:val="20"/>
    </w:rPr>
  </w:style>
  <w:style w:type="paragraph" w:customStyle="1" w:styleId="SLName">
    <w:name w:val="SLName"/>
    <w:basedOn w:val="Normal"/>
    <w:rsid w:val="001562A0"/>
    <w:pPr>
      <w:keepNext/>
      <w:keepLines/>
      <w:spacing w:before="120"/>
      <w:jc w:val="center"/>
    </w:pPr>
    <w:rPr>
      <w:caps/>
      <w:sz w:val="26"/>
      <w:szCs w:val="20"/>
      <w:lang w:val="en-GB"/>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rFonts w:ascii="Times New Roman" w:eastAsia="Times New Roman" w:hAnsi="Times New Roman"/>
      <w:b/>
      <w:bCs/>
      <w:lang w:val="en-US" w:eastAsia="en-US"/>
    </w:rPr>
  </w:style>
  <w:style w:type="character" w:styleId="Hyperlink">
    <w:name w:val="Hyperlink"/>
    <w:basedOn w:val="DefaultParagraphFont"/>
    <w:uiPriority w:val="99"/>
    <w:unhideWhenUsed/>
    <w:rsid w:val="002114C1"/>
    <w:rPr>
      <w:color w:val="0000FF"/>
      <w:u w:val="single"/>
    </w:rPr>
  </w:style>
  <w:style w:type="character" w:customStyle="1" w:styleId="Heading2Char">
    <w:name w:val="Heading 2 Char"/>
    <w:basedOn w:val="DefaultParagraphFont"/>
    <w:link w:val="Heading2"/>
    <w:rsid w:val="00121C31"/>
    <w:rPr>
      <w:rFonts w:ascii="Cambria" w:eastAsia="SimSun" w:hAnsi="Cambria" w:cs="Times New Roman"/>
      <w:b/>
      <w:bCs/>
      <w:i/>
      <w:iCs/>
      <w:sz w:val="28"/>
      <w:szCs w:val="28"/>
      <w:lang w:val="en-US" w:eastAsia="en-US"/>
    </w:rPr>
  </w:style>
  <w:style w:type="character" w:customStyle="1" w:styleId="Heading1Char">
    <w:name w:val="Heading 1 Char"/>
    <w:basedOn w:val="DefaultParagraphFont"/>
    <w:link w:val="Heading1"/>
    <w:rsid w:val="009B17D0"/>
    <w:rPr>
      <w:rFonts w:ascii="Cambria" w:eastAsia="SimSun" w:hAnsi="Cambria" w:cs="Times New Roman"/>
      <w:b/>
      <w:bCs/>
      <w:kern w:val="32"/>
      <w:sz w:val="32"/>
      <w:szCs w:val="32"/>
      <w:lang w:val="en-US" w:eastAsia="en-US"/>
    </w:rPr>
  </w:style>
  <w:style w:type="character" w:customStyle="1" w:styleId="Heading8Char">
    <w:name w:val="Heading 8 Char"/>
    <w:basedOn w:val="DefaultParagraphFont"/>
    <w:link w:val="Heading8"/>
    <w:rsid w:val="00796F41"/>
    <w:rPr>
      <w:rFonts w:ascii="Calibri" w:eastAsia="SimSun" w:hAnsi="Calibri" w:cs="Times New Roman"/>
      <w:i/>
      <w:iCs/>
      <w:sz w:val="24"/>
      <w:szCs w:val="24"/>
      <w:lang w:val="en-US" w:eastAsia="en-US"/>
    </w:rPr>
  </w:style>
  <w:style w:type="character" w:customStyle="1" w:styleId="Heading3Char">
    <w:name w:val="Heading 3 Char"/>
    <w:basedOn w:val="DefaultParagraphFont"/>
    <w:link w:val="Heading3"/>
    <w:rsid w:val="00086B65"/>
    <w:rPr>
      <w:rFonts w:ascii="Cambria" w:eastAsia="SimSun" w:hAnsi="Cambria" w:cs="Times New Roman"/>
      <w:b/>
      <w:bCs/>
      <w:sz w:val="26"/>
      <w:szCs w:val="26"/>
      <w:lang w:val="en-US" w:eastAsia="en-US"/>
    </w:rPr>
  </w:style>
  <w:style w:type="paragraph" w:styleId="NormalWeb">
    <w:name w:val="Normal (Web)"/>
    <w:basedOn w:val="Normal"/>
    <w:uiPriority w:val="99"/>
    <w:unhideWhenUsed/>
    <w:rsid w:val="0086438F"/>
    <w:pPr>
      <w:spacing w:before="100" w:beforeAutospacing="1" w:after="100" w:afterAutospacing="1"/>
    </w:pPr>
    <w:rPr>
      <w:rFonts w:eastAsia="Calibri"/>
      <w:lang w:val="en-SG" w:eastAsia="en-SG"/>
    </w:rPr>
  </w:style>
  <w:style w:type="paragraph" w:customStyle="1" w:styleId="Default">
    <w:name w:val="Default"/>
    <w:uiPriority w:val="99"/>
    <w:rsid w:val="006213C0"/>
    <w:pPr>
      <w:autoSpaceDE w:val="0"/>
      <w:autoSpaceDN w:val="0"/>
      <w:adjustRightInd w:val="0"/>
    </w:pPr>
    <w:rPr>
      <w:rFonts w:ascii="Times New Roman" w:hAnsi="Times New Roman"/>
      <w:color w:val="000000"/>
      <w:sz w:val="24"/>
      <w:szCs w:val="24"/>
      <w:lang w:val="en-GB" w:eastAsia="zh-CN"/>
    </w:rPr>
  </w:style>
  <w:style w:type="character" w:customStyle="1" w:styleId="ListParagraphChar">
    <w:name w:val="List Paragraph Char"/>
    <w:aliases w:val="Noise heading Char,RUS List Char,Credits Char,Number abc Char,a List Paragraph Char"/>
    <w:basedOn w:val="DefaultParagraphFont"/>
    <w:link w:val="ListParagraph"/>
    <w:uiPriority w:val="34"/>
    <w:locked/>
    <w:rsid w:val="00F74065"/>
    <w:rPr>
      <w:rFonts w:ascii="Times New Roman" w:eastAsia="Times New Roman" w:hAnsi="Times New Roman"/>
      <w:lang w:val="en-US" w:eastAsia="en-US"/>
    </w:rPr>
  </w:style>
  <w:style w:type="paragraph" w:styleId="Revision">
    <w:name w:val="Revision"/>
    <w:hidden/>
    <w:uiPriority w:val="99"/>
    <w:semiHidden/>
    <w:rsid w:val="009F65A1"/>
    <w:rPr>
      <w:rFonts w:ascii="Times New Roman" w:eastAsia="Times New Roman" w:hAnsi="Times New Roman"/>
      <w:sz w:val="24"/>
      <w:szCs w:val="24"/>
      <w:lang w:val="en-US" w:eastAsia="en-US"/>
    </w:rPr>
  </w:style>
  <w:style w:type="paragraph" w:styleId="Header">
    <w:name w:val="header"/>
    <w:basedOn w:val="Normal"/>
    <w:link w:val="HeaderChar"/>
    <w:uiPriority w:val="99"/>
    <w:semiHidden/>
    <w:unhideWhenUsed/>
    <w:rsid w:val="0006698B"/>
    <w:pPr>
      <w:tabs>
        <w:tab w:val="center" w:pos="4513"/>
        <w:tab w:val="right" w:pos="9026"/>
      </w:tabs>
    </w:pPr>
  </w:style>
  <w:style w:type="character" w:customStyle="1" w:styleId="HeaderChar">
    <w:name w:val="Header Char"/>
    <w:basedOn w:val="DefaultParagraphFont"/>
    <w:link w:val="Header"/>
    <w:uiPriority w:val="99"/>
    <w:semiHidden/>
    <w:rsid w:val="0006698B"/>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821292"/>
    <w:rPr>
      <w:i/>
      <w:iCs/>
    </w:rPr>
  </w:style>
  <w:style w:type="paragraph" w:customStyle="1" w:styleId="PMAns">
    <w:name w:val="PM Ans"/>
    <w:basedOn w:val="Normal"/>
    <w:link w:val="PMAnsChar"/>
    <w:qFormat/>
    <w:rsid w:val="00D32ECA"/>
    <w:pPr>
      <w:spacing w:before="120" w:after="240" w:line="276" w:lineRule="auto"/>
      <w:jc w:val="both"/>
    </w:pPr>
    <w:rPr>
      <w:rFonts w:eastAsia="SimSun"/>
      <w:sz w:val="26"/>
      <w:szCs w:val="26"/>
    </w:rPr>
  </w:style>
  <w:style w:type="character" w:customStyle="1" w:styleId="PMAnsChar">
    <w:name w:val="PM Ans Char"/>
    <w:basedOn w:val="DefaultParagraphFont"/>
    <w:link w:val="PMAns"/>
    <w:rsid w:val="00D32ECA"/>
    <w:rPr>
      <w:rFonts w:ascii="Times New Roman" w:hAnsi="Times New Roman"/>
      <w:sz w:val="26"/>
      <w:szCs w:val="26"/>
      <w:lang w:val="en-US" w:eastAsia="en-US"/>
    </w:rPr>
  </w:style>
  <w:style w:type="paragraph" w:customStyle="1" w:styleId="ContentinTable">
    <w:name w:val="Content in Table"/>
    <w:basedOn w:val="Normal"/>
    <w:uiPriority w:val="99"/>
    <w:qFormat/>
    <w:rsid w:val="00F453D9"/>
    <w:pPr>
      <w:autoSpaceDE w:val="0"/>
      <w:autoSpaceDN w:val="0"/>
      <w:adjustRightInd w:val="0"/>
      <w:spacing w:before="120" w:after="240" w:line="276" w:lineRule="auto"/>
      <w:ind w:right="57"/>
      <w:jc w:val="both"/>
    </w:pPr>
    <w:rPr>
      <w:rFonts w:eastAsia="Calibri"/>
      <w:sz w:val="28"/>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4750">
      <w:bodyDiv w:val="1"/>
      <w:marLeft w:val="0"/>
      <w:marRight w:val="0"/>
      <w:marTop w:val="0"/>
      <w:marBottom w:val="0"/>
      <w:divBdr>
        <w:top w:val="none" w:sz="0" w:space="0" w:color="auto"/>
        <w:left w:val="none" w:sz="0" w:space="0" w:color="auto"/>
        <w:bottom w:val="none" w:sz="0" w:space="0" w:color="auto"/>
        <w:right w:val="none" w:sz="0" w:space="0" w:color="auto"/>
      </w:divBdr>
    </w:div>
    <w:div w:id="264312599">
      <w:bodyDiv w:val="1"/>
      <w:marLeft w:val="0"/>
      <w:marRight w:val="0"/>
      <w:marTop w:val="0"/>
      <w:marBottom w:val="0"/>
      <w:divBdr>
        <w:top w:val="none" w:sz="0" w:space="0" w:color="auto"/>
        <w:left w:val="none" w:sz="0" w:space="0" w:color="auto"/>
        <w:bottom w:val="none" w:sz="0" w:space="0" w:color="auto"/>
        <w:right w:val="none" w:sz="0" w:space="0" w:color="auto"/>
      </w:divBdr>
    </w:div>
    <w:div w:id="334503001">
      <w:bodyDiv w:val="1"/>
      <w:marLeft w:val="0"/>
      <w:marRight w:val="0"/>
      <w:marTop w:val="0"/>
      <w:marBottom w:val="0"/>
      <w:divBdr>
        <w:top w:val="none" w:sz="0" w:space="0" w:color="auto"/>
        <w:left w:val="none" w:sz="0" w:space="0" w:color="auto"/>
        <w:bottom w:val="none" w:sz="0" w:space="0" w:color="auto"/>
        <w:right w:val="none" w:sz="0" w:space="0" w:color="auto"/>
      </w:divBdr>
    </w:div>
    <w:div w:id="376511205">
      <w:bodyDiv w:val="1"/>
      <w:marLeft w:val="0"/>
      <w:marRight w:val="0"/>
      <w:marTop w:val="0"/>
      <w:marBottom w:val="0"/>
      <w:divBdr>
        <w:top w:val="none" w:sz="0" w:space="0" w:color="auto"/>
        <w:left w:val="none" w:sz="0" w:space="0" w:color="auto"/>
        <w:bottom w:val="none" w:sz="0" w:space="0" w:color="auto"/>
        <w:right w:val="none" w:sz="0" w:space="0" w:color="auto"/>
      </w:divBdr>
      <w:divsChild>
        <w:div w:id="144511178">
          <w:marLeft w:val="0"/>
          <w:marRight w:val="0"/>
          <w:marTop w:val="0"/>
          <w:marBottom w:val="0"/>
          <w:divBdr>
            <w:top w:val="none" w:sz="0" w:space="0" w:color="auto"/>
            <w:left w:val="none" w:sz="0" w:space="0" w:color="auto"/>
            <w:bottom w:val="none" w:sz="0" w:space="0" w:color="auto"/>
            <w:right w:val="none" w:sz="0" w:space="0" w:color="auto"/>
          </w:divBdr>
          <w:divsChild>
            <w:div w:id="384055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94095318">
      <w:bodyDiv w:val="1"/>
      <w:marLeft w:val="0"/>
      <w:marRight w:val="0"/>
      <w:marTop w:val="0"/>
      <w:marBottom w:val="0"/>
      <w:divBdr>
        <w:top w:val="none" w:sz="0" w:space="0" w:color="auto"/>
        <w:left w:val="none" w:sz="0" w:space="0" w:color="auto"/>
        <w:bottom w:val="none" w:sz="0" w:space="0" w:color="auto"/>
        <w:right w:val="none" w:sz="0" w:space="0" w:color="auto"/>
      </w:divBdr>
    </w:div>
    <w:div w:id="823811632">
      <w:bodyDiv w:val="1"/>
      <w:marLeft w:val="0"/>
      <w:marRight w:val="0"/>
      <w:marTop w:val="0"/>
      <w:marBottom w:val="0"/>
      <w:divBdr>
        <w:top w:val="none" w:sz="0" w:space="0" w:color="auto"/>
        <w:left w:val="none" w:sz="0" w:space="0" w:color="auto"/>
        <w:bottom w:val="none" w:sz="0" w:space="0" w:color="auto"/>
        <w:right w:val="none" w:sz="0" w:space="0" w:color="auto"/>
      </w:divBdr>
    </w:div>
    <w:div w:id="921571491">
      <w:bodyDiv w:val="1"/>
      <w:marLeft w:val="0"/>
      <w:marRight w:val="0"/>
      <w:marTop w:val="0"/>
      <w:marBottom w:val="0"/>
      <w:divBdr>
        <w:top w:val="none" w:sz="0" w:space="0" w:color="auto"/>
        <w:left w:val="none" w:sz="0" w:space="0" w:color="auto"/>
        <w:bottom w:val="none" w:sz="0" w:space="0" w:color="auto"/>
        <w:right w:val="none" w:sz="0" w:space="0" w:color="auto"/>
      </w:divBdr>
    </w:div>
    <w:div w:id="1306471806">
      <w:bodyDiv w:val="1"/>
      <w:marLeft w:val="0"/>
      <w:marRight w:val="0"/>
      <w:marTop w:val="0"/>
      <w:marBottom w:val="0"/>
      <w:divBdr>
        <w:top w:val="none" w:sz="0" w:space="0" w:color="auto"/>
        <w:left w:val="none" w:sz="0" w:space="0" w:color="auto"/>
        <w:bottom w:val="none" w:sz="0" w:space="0" w:color="auto"/>
        <w:right w:val="none" w:sz="0" w:space="0" w:color="auto"/>
      </w:divBdr>
    </w:div>
    <w:div w:id="1408068584">
      <w:bodyDiv w:val="1"/>
      <w:marLeft w:val="0"/>
      <w:marRight w:val="0"/>
      <w:marTop w:val="0"/>
      <w:marBottom w:val="0"/>
      <w:divBdr>
        <w:top w:val="none" w:sz="0" w:space="0" w:color="auto"/>
        <w:left w:val="none" w:sz="0" w:space="0" w:color="auto"/>
        <w:bottom w:val="none" w:sz="0" w:space="0" w:color="auto"/>
        <w:right w:val="none" w:sz="0" w:space="0" w:color="auto"/>
      </w:divBdr>
    </w:div>
    <w:div w:id="1621381346">
      <w:bodyDiv w:val="1"/>
      <w:marLeft w:val="0"/>
      <w:marRight w:val="0"/>
      <w:marTop w:val="0"/>
      <w:marBottom w:val="0"/>
      <w:divBdr>
        <w:top w:val="none" w:sz="0" w:space="0" w:color="auto"/>
        <w:left w:val="none" w:sz="0" w:space="0" w:color="auto"/>
        <w:bottom w:val="none" w:sz="0" w:space="0" w:color="auto"/>
        <w:right w:val="none" w:sz="0" w:space="0" w:color="auto"/>
      </w:divBdr>
    </w:div>
    <w:div w:id="1662466150">
      <w:bodyDiv w:val="1"/>
      <w:marLeft w:val="0"/>
      <w:marRight w:val="0"/>
      <w:marTop w:val="0"/>
      <w:marBottom w:val="0"/>
      <w:divBdr>
        <w:top w:val="none" w:sz="0" w:space="0" w:color="auto"/>
        <w:left w:val="none" w:sz="0" w:space="0" w:color="auto"/>
        <w:bottom w:val="none" w:sz="0" w:space="0" w:color="auto"/>
        <w:right w:val="none" w:sz="0" w:space="0" w:color="auto"/>
      </w:divBdr>
    </w:div>
    <w:div w:id="1699617517">
      <w:bodyDiv w:val="1"/>
      <w:marLeft w:val="0"/>
      <w:marRight w:val="0"/>
      <w:marTop w:val="0"/>
      <w:marBottom w:val="0"/>
      <w:divBdr>
        <w:top w:val="none" w:sz="0" w:space="0" w:color="auto"/>
        <w:left w:val="none" w:sz="0" w:space="0" w:color="auto"/>
        <w:bottom w:val="none" w:sz="0" w:space="0" w:color="auto"/>
        <w:right w:val="none" w:sz="0" w:space="0" w:color="auto"/>
      </w:divBdr>
    </w:div>
    <w:div w:id="1812288720">
      <w:bodyDiv w:val="1"/>
      <w:marLeft w:val="0"/>
      <w:marRight w:val="0"/>
      <w:marTop w:val="0"/>
      <w:marBottom w:val="0"/>
      <w:divBdr>
        <w:top w:val="none" w:sz="0" w:space="0" w:color="auto"/>
        <w:left w:val="none" w:sz="0" w:space="0" w:color="auto"/>
        <w:bottom w:val="none" w:sz="0" w:space="0" w:color="auto"/>
        <w:right w:val="none" w:sz="0" w:space="0" w:color="auto"/>
      </w:divBdr>
    </w:div>
    <w:div w:id="21387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DAFEC6B66164787F271A73119E70D" ma:contentTypeVersion="0" ma:contentTypeDescription="Create a new document." ma:contentTypeScope="" ma:versionID="588dfc757ca5a2faf90e701da2391a5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614FD-4BD7-46E9-AF9F-8F330D6EEC37}">
  <ds:schemaRefs>
    <ds:schemaRef ds:uri="http://schemas.microsoft.com/office/2006/metadata/properties"/>
  </ds:schemaRefs>
</ds:datastoreItem>
</file>

<file path=customXml/itemProps2.xml><?xml version="1.0" encoding="utf-8"?>
<ds:datastoreItem xmlns:ds="http://schemas.openxmlformats.org/officeDocument/2006/customXml" ds:itemID="{5EECF40A-BFDB-417E-B8A3-7F3F3409F7C6}">
  <ds:schemaRefs>
    <ds:schemaRef ds:uri="http://schemas.microsoft.com/sharepoint/v3/contenttype/forms"/>
  </ds:schemaRefs>
</ds:datastoreItem>
</file>

<file path=customXml/itemProps3.xml><?xml version="1.0" encoding="utf-8"?>
<ds:datastoreItem xmlns:ds="http://schemas.openxmlformats.org/officeDocument/2006/customXml" ds:itemID="{B75332D8-7B07-4713-A80B-5A30C4E9B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9763CA-FD4F-48F3-8514-E5FAD63ED8DF}">
  <ds:schemaRefs>
    <ds:schemaRef ds:uri="http://schemas.openxmlformats.org/officeDocument/2006/bibliography"/>
  </ds:schemaRefs>
</ds:datastoreItem>
</file>

<file path=customXml/itemProps5.xml><?xml version="1.0" encoding="utf-8"?>
<ds:datastoreItem xmlns:ds="http://schemas.openxmlformats.org/officeDocument/2006/customXml" ds:itemID="{8B39FB3B-A595-4D6C-98A5-F35E461E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SUMMARY TABLE</vt:lpstr>
    </vt:vector>
  </TitlesOfParts>
  <Company>Singapore Government</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TABLE</dc:title>
  <dc:creator>Lei Ping TAN (MOF)</dc:creator>
  <cp:lastModifiedBy>Hnin Nway KHIN from.CSC (MOF)</cp:lastModifiedBy>
  <cp:revision>1</cp:revision>
  <cp:lastPrinted>2015-06-17T07:20:00Z</cp:lastPrinted>
  <dcterms:created xsi:type="dcterms:W3CDTF">2016-07-08T03:38:00Z</dcterms:created>
  <dcterms:modified xsi:type="dcterms:W3CDTF">2016-07-08T03:38:00Z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0x01010007FDAFEC6B66164787F271A73119E70D</vt:lpwstr>
  </property>
</Properties>
</file>