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0AFF" w14:textId="13642853" w:rsidR="2FDF968A" w:rsidRDefault="2FDF968A" w:rsidP="2FDF968A">
      <w:pPr>
        <w:pStyle w:val="BodyText2"/>
        <w:spacing w:after="0" w:line="240" w:lineRule="auto"/>
        <w:jc w:val="center"/>
      </w:pPr>
      <w:r w:rsidRPr="2FDF968A">
        <w:rPr>
          <w:b/>
          <w:bCs/>
          <w:sz w:val="24"/>
          <w:szCs w:val="24"/>
        </w:rPr>
        <w:t xml:space="preserve">ANNEX A: SUMMARY TABLE ON PROPOSED CHANGES TO THE INCOME TAX ACT </w:t>
      </w:r>
      <w:r w:rsidR="00E61A96">
        <w:rPr>
          <w:b/>
          <w:bCs/>
          <w:sz w:val="24"/>
          <w:szCs w:val="24"/>
        </w:rPr>
        <w:t>1947</w:t>
      </w:r>
      <w:r w:rsidRPr="2FDF968A">
        <w:rPr>
          <w:b/>
          <w:bCs/>
          <w:sz w:val="24"/>
          <w:szCs w:val="24"/>
        </w:rPr>
        <w:t xml:space="preserve"> (“ITA”) AS ANNOUNCED IN THE 2022 BUDGET STATEMENT</w:t>
      </w:r>
    </w:p>
    <w:p w14:paraId="37487BCD" w14:textId="77777777" w:rsidR="005B13DF" w:rsidRDefault="005B13DF" w:rsidP="00DB1164">
      <w:pPr>
        <w:rPr>
          <w:b/>
        </w:rPr>
      </w:pPr>
    </w:p>
    <w:tbl>
      <w:tblPr>
        <w:tblpPr w:leftFromText="180" w:rightFromText="180" w:vertAnchor="text" w:tblpY="1"/>
        <w:tblOverlap w:val="never"/>
        <w:tblW w:w="1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846"/>
        <w:gridCol w:w="3260"/>
        <w:gridCol w:w="6869"/>
        <w:gridCol w:w="2082"/>
      </w:tblGrid>
      <w:tr w:rsidR="000974A2" w:rsidRPr="000974A2" w14:paraId="5161D90A" w14:textId="77777777" w:rsidTr="2FDF968A">
        <w:trPr>
          <w:tblHeader/>
        </w:trPr>
        <w:tc>
          <w:tcPr>
            <w:tcW w:w="846" w:type="dxa"/>
            <w:shd w:val="clear" w:color="auto" w:fill="E5DFEC" w:themeFill="accent4" w:themeFillTint="33"/>
          </w:tcPr>
          <w:p w14:paraId="72C22E34" w14:textId="77777777" w:rsidR="000974A2" w:rsidRPr="000974A2" w:rsidRDefault="2FDF968A" w:rsidP="2FDF968A">
            <w:pPr>
              <w:widowControl w:val="0"/>
              <w:jc w:val="both"/>
              <w:rPr>
                <w:rFonts w:eastAsia="SimSun"/>
                <w:b/>
                <w:bCs/>
              </w:rPr>
            </w:pPr>
            <w:r w:rsidRPr="2FDF968A">
              <w:rPr>
                <w:rFonts w:eastAsia="SimSun"/>
                <w:b/>
                <w:bCs/>
              </w:rPr>
              <w:t>S/N</w:t>
            </w:r>
          </w:p>
        </w:tc>
        <w:tc>
          <w:tcPr>
            <w:tcW w:w="3260" w:type="dxa"/>
            <w:shd w:val="clear" w:color="auto" w:fill="E5DFEC" w:themeFill="accent4" w:themeFillTint="33"/>
          </w:tcPr>
          <w:p w14:paraId="1E736CB7" w14:textId="641136A3" w:rsidR="000974A2" w:rsidRPr="000974A2" w:rsidRDefault="2FDF968A" w:rsidP="2FDF968A">
            <w:pPr>
              <w:widowControl w:val="0"/>
              <w:jc w:val="both"/>
              <w:rPr>
                <w:rFonts w:eastAsia="SimSun"/>
                <w:b/>
                <w:bCs/>
              </w:rPr>
            </w:pPr>
            <w:r w:rsidRPr="2FDF968A">
              <w:rPr>
                <w:rFonts w:eastAsia="SimSun"/>
                <w:b/>
                <w:bCs/>
              </w:rPr>
              <w:t>Proposed Legislative Change</w:t>
            </w:r>
          </w:p>
        </w:tc>
        <w:tc>
          <w:tcPr>
            <w:tcW w:w="6869" w:type="dxa"/>
            <w:shd w:val="clear" w:color="auto" w:fill="E5DFEC" w:themeFill="accent4" w:themeFillTint="33"/>
          </w:tcPr>
          <w:p w14:paraId="4D1E6AA4" w14:textId="39850879" w:rsidR="000974A2" w:rsidRPr="000974A2" w:rsidRDefault="2FDF968A" w:rsidP="2FDF968A">
            <w:pPr>
              <w:widowControl w:val="0"/>
              <w:jc w:val="both"/>
              <w:rPr>
                <w:rFonts w:eastAsia="SimSun"/>
                <w:b/>
                <w:bCs/>
              </w:rPr>
            </w:pPr>
            <w:r w:rsidRPr="2FDF968A">
              <w:rPr>
                <w:rFonts w:eastAsia="SimSun"/>
                <w:b/>
                <w:bCs/>
              </w:rPr>
              <w:t>Brief Description of Proposed Legislative Changes</w:t>
            </w:r>
          </w:p>
        </w:tc>
        <w:tc>
          <w:tcPr>
            <w:tcW w:w="2082" w:type="dxa"/>
            <w:shd w:val="clear" w:color="auto" w:fill="E5DFEC" w:themeFill="accent4" w:themeFillTint="33"/>
          </w:tcPr>
          <w:p w14:paraId="22EDFE54" w14:textId="3A43EFAA" w:rsidR="000974A2" w:rsidRDefault="2FDF968A" w:rsidP="2FDF968A">
            <w:pPr>
              <w:widowControl w:val="0"/>
              <w:jc w:val="both"/>
              <w:rPr>
                <w:rFonts w:eastAsia="SimSun"/>
                <w:b/>
                <w:bCs/>
              </w:rPr>
            </w:pPr>
            <w:r w:rsidRPr="2FDF968A">
              <w:rPr>
                <w:rFonts w:eastAsia="SimSun"/>
                <w:b/>
                <w:bCs/>
              </w:rPr>
              <w:t>Proposed Amendment to the ITA [Clause in Draft Income Tax Amendment) Bill 2022]</w:t>
            </w:r>
          </w:p>
        </w:tc>
      </w:tr>
      <w:tr w:rsidR="008079D2" w:rsidRPr="000974A2" w14:paraId="0F28B688" w14:textId="77777777" w:rsidTr="2FDF968A">
        <w:tc>
          <w:tcPr>
            <w:tcW w:w="846" w:type="dxa"/>
          </w:tcPr>
          <w:p w14:paraId="31D03C7C" w14:textId="77777777" w:rsidR="008079D2" w:rsidRPr="000974A2" w:rsidRDefault="008079D2" w:rsidP="0057761F">
            <w:pPr>
              <w:widowControl w:val="0"/>
              <w:numPr>
                <w:ilvl w:val="0"/>
                <w:numId w:val="2"/>
              </w:numPr>
              <w:jc w:val="both"/>
              <w:rPr>
                <w:rFonts w:eastAsia="PMingLiU"/>
                <w:b/>
              </w:rPr>
            </w:pPr>
          </w:p>
        </w:tc>
        <w:tc>
          <w:tcPr>
            <w:tcW w:w="3260" w:type="dxa"/>
          </w:tcPr>
          <w:p w14:paraId="1CAD3173" w14:textId="2B63B9D2" w:rsidR="008079D2" w:rsidRPr="000974A2" w:rsidRDefault="2FDF968A" w:rsidP="0057761F">
            <w:pPr>
              <w:widowControl w:val="0"/>
              <w:jc w:val="both"/>
            </w:pPr>
            <w:r>
              <w:t>Extend the Aircraft Leasing Scheme (“ALS”)</w:t>
            </w:r>
          </w:p>
        </w:tc>
        <w:tc>
          <w:tcPr>
            <w:tcW w:w="6869" w:type="dxa"/>
          </w:tcPr>
          <w:tbl>
            <w:tblPr>
              <w:tblW w:w="6746" w:type="dxa"/>
              <w:tblBorders>
                <w:top w:val="nil"/>
                <w:left w:val="nil"/>
                <w:bottom w:val="nil"/>
                <w:right w:val="nil"/>
              </w:tblBorders>
              <w:tblLayout w:type="fixed"/>
              <w:tblLook w:val="0000" w:firstRow="0" w:lastRow="0" w:firstColumn="0" w:lastColumn="0" w:noHBand="0" w:noVBand="0"/>
            </w:tblPr>
            <w:tblGrid>
              <w:gridCol w:w="6746"/>
            </w:tblGrid>
            <w:tr w:rsidR="008079D2" w:rsidRPr="002D1E1B" w14:paraId="600E02D2" w14:textId="77777777" w:rsidTr="2FDF968A">
              <w:trPr>
                <w:trHeight w:val="717"/>
              </w:trPr>
              <w:tc>
                <w:tcPr>
                  <w:tcW w:w="6746" w:type="dxa"/>
                </w:tcPr>
                <w:p w14:paraId="429B384E" w14:textId="6D568EA9" w:rsidR="008079D2" w:rsidRPr="002D1E1B" w:rsidRDefault="2FDF968A" w:rsidP="00903EC7">
                  <w:pPr>
                    <w:framePr w:hSpace="180" w:wrap="around" w:vAnchor="text" w:hAnchor="text" w:y="1"/>
                    <w:autoSpaceDE w:val="0"/>
                    <w:autoSpaceDN w:val="0"/>
                    <w:adjustRightInd w:val="0"/>
                    <w:ind w:left="-99"/>
                    <w:suppressOverlap/>
                    <w:jc w:val="both"/>
                    <w:rPr>
                      <w:lang w:eastAsia="zh-CN"/>
                    </w:rPr>
                  </w:pPr>
                  <w:r w:rsidRPr="2FDF968A">
                    <w:rPr>
                      <w:lang w:eastAsia="zh-CN"/>
                    </w:rPr>
                    <w:t>To continue encouraging the growth of the aircraft leasing sector in Singapore, the ALS will be extended till 31 December 2027.</w:t>
                  </w:r>
                </w:p>
                <w:p w14:paraId="4143C5F4" w14:textId="2324DDF2" w:rsidR="008079D2" w:rsidRPr="002D1E1B" w:rsidRDefault="008079D2" w:rsidP="00903EC7">
                  <w:pPr>
                    <w:framePr w:hSpace="180" w:wrap="around" w:vAnchor="text" w:hAnchor="text" w:y="1"/>
                    <w:autoSpaceDE w:val="0"/>
                    <w:autoSpaceDN w:val="0"/>
                    <w:adjustRightInd w:val="0"/>
                    <w:ind w:left="-99"/>
                    <w:suppressOverlap/>
                    <w:jc w:val="both"/>
                    <w:rPr>
                      <w:lang w:eastAsia="zh-CN"/>
                    </w:rPr>
                  </w:pPr>
                </w:p>
              </w:tc>
            </w:tr>
          </w:tbl>
          <w:p w14:paraId="560641E1" w14:textId="51C9CA15" w:rsidR="008079D2" w:rsidRPr="00234370" w:rsidRDefault="008577AA" w:rsidP="0057761F">
            <w:pPr>
              <w:pStyle w:val="ContentinTable"/>
              <w:spacing w:before="0" w:after="0" w:line="240" w:lineRule="auto"/>
              <w:rPr>
                <w:sz w:val="24"/>
              </w:rPr>
            </w:pPr>
            <w:r w:rsidRPr="002D1E1B">
              <w:rPr>
                <w:sz w:val="24"/>
                <w:lang w:eastAsia="zh-CN"/>
              </w:rPr>
              <w:t>The proposed amendment</w:t>
            </w:r>
            <w:r>
              <w:rPr>
                <w:sz w:val="24"/>
                <w:lang w:eastAsia="zh-CN"/>
              </w:rPr>
              <w:t>, if approved,</w:t>
            </w:r>
            <w:r w:rsidRPr="002D1E1B">
              <w:rPr>
                <w:sz w:val="24"/>
                <w:lang w:eastAsia="zh-CN"/>
              </w:rPr>
              <w:t xml:space="preserve"> will take effect from 1 January 2023.</w:t>
            </w:r>
          </w:p>
        </w:tc>
        <w:tc>
          <w:tcPr>
            <w:tcW w:w="2082" w:type="dxa"/>
          </w:tcPr>
          <w:p w14:paraId="2F89DCD2" w14:textId="2757A5DD" w:rsidR="008079D2" w:rsidRDefault="2FDF968A" w:rsidP="0057761F">
            <w:pPr>
              <w:jc w:val="both"/>
            </w:pPr>
            <w:r>
              <w:t xml:space="preserve">Sections 43N and </w:t>
            </w:r>
            <w:r w:rsidR="519B5A91">
              <w:t>43O</w:t>
            </w:r>
          </w:p>
          <w:p w14:paraId="56E93F67" w14:textId="77777777" w:rsidR="008079D2" w:rsidRDefault="008079D2" w:rsidP="0057761F">
            <w:pPr>
              <w:jc w:val="both"/>
            </w:pPr>
          </w:p>
          <w:p w14:paraId="491A407C" w14:textId="28E2380D" w:rsidR="008079D2" w:rsidRPr="00A65CF7" w:rsidRDefault="519B5A91" w:rsidP="0057761F">
            <w:pPr>
              <w:jc w:val="both"/>
            </w:pPr>
            <w:r>
              <w:t>[Clauses 23 and 24]</w:t>
            </w:r>
          </w:p>
        </w:tc>
      </w:tr>
      <w:tr w:rsidR="008079D2" w:rsidRPr="000974A2" w14:paraId="5AFD792F" w14:textId="77777777" w:rsidTr="2FDF968A">
        <w:tc>
          <w:tcPr>
            <w:tcW w:w="846" w:type="dxa"/>
          </w:tcPr>
          <w:p w14:paraId="27EF3EF2" w14:textId="77777777" w:rsidR="008079D2" w:rsidRPr="000974A2" w:rsidRDefault="008079D2" w:rsidP="0057761F">
            <w:pPr>
              <w:widowControl w:val="0"/>
              <w:numPr>
                <w:ilvl w:val="0"/>
                <w:numId w:val="2"/>
              </w:numPr>
              <w:jc w:val="both"/>
              <w:rPr>
                <w:rFonts w:eastAsia="PMingLiU"/>
                <w:b/>
              </w:rPr>
            </w:pPr>
          </w:p>
        </w:tc>
        <w:tc>
          <w:tcPr>
            <w:tcW w:w="3260" w:type="dxa"/>
          </w:tcPr>
          <w:p w14:paraId="204EA4F4" w14:textId="523258BB" w:rsidR="008079D2" w:rsidRPr="000974A2" w:rsidRDefault="2FDF968A" w:rsidP="2FDF968A">
            <w:pPr>
              <w:widowControl w:val="0"/>
              <w:rPr>
                <w:color w:val="000000" w:themeColor="text1"/>
              </w:rPr>
            </w:pPr>
            <w:r>
              <w:t>Adapt the Tax Framework for Facilitating Corporate Amalgamations under section 34C of the ITA for Licensed Insurer</w:t>
            </w:r>
          </w:p>
        </w:tc>
        <w:tc>
          <w:tcPr>
            <w:tcW w:w="6869" w:type="dxa"/>
          </w:tcPr>
          <w:p w14:paraId="6A5F8D46" w14:textId="77777777" w:rsidR="008079D2" w:rsidRPr="002D1E1B" w:rsidRDefault="2FDF968A" w:rsidP="0057761F">
            <w:pPr>
              <w:autoSpaceDE w:val="0"/>
              <w:autoSpaceDN w:val="0"/>
              <w:adjustRightInd w:val="0"/>
              <w:contextualSpacing/>
              <w:jc w:val="both"/>
            </w:pPr>
            <w:r w:rsidRPr="2FDF968A">
              <w:rPr>
                <w:rFonts w:eastAsia="SimSun"/>
                <w:lang w:eastAsia="zh-CN"/>
              </w:rPr>
              <w:t>The tax framework under section 34C of the ITA treats qualifying corporate amalgamations as a continuation of the existing businesses of the amalgamating companies by the</w:t>
            </w:r>
            <w:r>
              <w:t xml:space="preserve"> amalgamated company for tax purposes. The tax framework </w:t>
            </w:r>
            <w:proofErr w:type="spellStart"/>
            <w:r>
              <w:t>minimises</w:t>
            </w:r>
            <w:proofErr w:type="spellEnd"/>
            <w:r>
              <w:t xml:space="preserve"> the tax consequences arising from a qualifying corporate amalgamation.</w:t>
            </w:r>
          </w:p>
          <w:p w14:paraId="6EBBB6C8" w14:textId="77777777" w:rsidR="008079D2" w:rsidRPr="002D1E1B" w:rsidRDefault="008079D2" w:rsidP="0057761F">
            <w:pPr>
              <w:autoSpaceDE w:val="0"/>
              <w:autoSpaceDN w:val="0"/>
              <w:adjustRightInd w:val="0"/>
              <w:contextualSpacing/>
              <w:jc w:val="both"/>
            </w:pPr>
          </w:p>
          <w:p w14:paraId="325FF644" w14:textId="77777777" w:rsidR="008079D2" w:rsidRPr="002D1E1B" w:rsidRDefault="2FDF968A" w:rsidP="0057761F">
            <w:pPr>
              <w:autoSpaceDE w:val="0"/>
              <w:autoSpaceDN w:val="0"/>
              <w:adjustRightInd w:val="0"/>
              <w:contextualSpacing/>
              <w:jc w:val="both"/>
            </w:pPr>
            <w:r>
              <w:t xml:space="preserve">A qualifying corporate amalgamation under section 34C of the ITA comprises amalgamation of companies: </w:t>
            </w:r>
          </w:p>
          <w:p w14:paraId="26775FDA" w14:textId="77777777" w:rsidR="008079D2" w:rsidRPr="002D1E1B" w:rsidRDefault="2FDF968A" w:rsidP="2FDF968A">
            <w:pPr>
              <w:pStyle w:val="ListParagraph"/>
              <w:numPr>
                <w:ilvl w:val="0"/>
                <w:numId w:val="4"/>
              </w:numPr>
              <w:autoSpaceDE w:val="0"/>
              <w:autoSpaceDN w:val="0"/>
              <w:adjustRightInd w:val="0"/>
              <w:contextualSpacing/>
              <w:jc w:val="both"/>
              <w:rPr>
                <w:sz w:val="24"/>
                <w:szCs w:val="24"/>
              </w:rPr>
            </w:pPr>
            <w:r w:rsidRPr="2FDF968A">
              <w:rPr>
                <w:sz w:val="24"/>
                <w:szCs w:val="24"/>
              </w:rPr>
              <w:t xml:space="preserve">where the notice of amalgamation under section 215F of the Companies Act 1967 (“CA”) or a certificate of approval under section 14A of the Banking Act 1970 is issued on or after 22 January 2009; or </w:t>
            </w:r>
          </w:p>
          <w:p w14:paraId="4CA4FD2B" w14:textId="77777777" w:rsidR="008079D2" w:rsidRPr="002D1E1B" w:rsidRDefault="2FDF968A" w:rsidP="2FDF968A">
            <w:pPr>
              <w:pStyle w:val="ListParagraph"/>
              <w:numPr>
                <w:ilvl w:val="0"/>
                <w:numId w:val="4"/>
              </w:numPr>
              <w:autoSpaceDE w:val="0"/>
              <w:autoSpaceDN w:val="0"/>
              <w:adjustRightInd w:val="0"/>
              <w:contextualSpacing/>
              <w:jc w:val="both"/>
              <w:rPr>
                <w:sz w:val="24"/>
                <w:szCs w:val="24"/>
              </w:rPr>
            </w:pPr>
            <w:r w:rsidRPr="2FDF968A">
              <w:rPr>
                <w:sz w:val="24"/>
                <w:szCs w:val="24"/>
              </w:rPr>
              <w:t xml:space="preserve">that is court-directed under the CA or any other amalgamation of companies, provided the amalgamation has a similar effect as that of a statutory voluntary amalgamation under section 215B to 215G of the CA. Such amalgamation of companies is </w:t>
            </w:r>
            <w:r w:rsidRPr="2FDF968A">
              <w:rPr>
                <w:sz w:val="24"/>
                <w:szCs w:val="24"/>
              </w:rPr>
              <w:lastRenderedPageBreak/>
              <w:t>subject to the approval of the Minister for Finance, or such person as he may appoint.</w:t>
            </w:r>
          </w:p>
          <w:p w14:paraId="709145B1" w14:textId="77777777" w:rsidR="008079D2" w:rsidRPr="002D1E1B" w:rsidRDefault="008079D2" w:rsidP="0057761F">
            <w:pPr>
              <w:autoSpaceDE w:val="0"/>
              <w:autoSpaceDN w:val="0"/>
              <w:adjustRightInd w:val="0"/>
              <w:contextualSpacing/>
              <w:jc w:val="both"/>
            </w:pPr>
          </w:p>
          <w:p w14:paraId="102B86CC" w14:textId="16E3FC31" w:rsidR="008079D2" w:rsidRPr="002D1E1B" w:rsidRDefault="008079D2" w:rsidP="0057761F">
            <w:pPr>
              <w:autoSpaceDE w:val="0"/>
              <w:autoSpaceDN w:val="0"/>
              <w:adjustRightInd w:val="0"/>
              <w:contextualSpacing/>
              <w:jc w:val="both"/>
            </w:pPr>
            <w:r w:rsidRPr="002D1E1B">
              <w:t xml:space="preserve">To ensure parity in treatment for </w:t>
            </w:r>
            <w:r w:rsidR="00AE31D4">
              <w:t xml:space="preserve">all </w:t>
            </w:r>
            <w:r w:rsidRPr="002D1E1B">
              <w:t>companies</w:t>
            </w:r>
            <w:r w:rsidR="00AE31D4">
              <w:t>, including those that are</w:t>
            </w:r>
            <w:r w:rsidRPr="002D1E1B">
              <w:t xml:space="preserve"> in the insurance business, the tax framework for facilitating corporate amalgamations will be </w:t>
            </w:r>
            <w:r>
              <w:t>adapted</w:t>
            </w:r>
            <w:r w:rsidRPr="002D1E1B">
              <w:t xml:space="preserve"> to</w:t>
            </w:r>
            <w:r w:rsidRPr="00E30780">
              <w:t xml:space="preserve"> </w:t>
            </w:r>
            <w:r w:rsidRPr="002D1E1B">
              <w:t>cover merger of Singapore-incorporated companies involving a scheme of transfer</w:t>
            </w:r>
            <w:r w:rsidRPr="002D1E1B">
              <w:rPr>
                <w:rStyle w:val="FootnoteReference"/>
              </w:rPr>
              <w:footnoteReference w:id="2"/>
            </w:r>
            <w:r w:rsidRPr="002D1E1B">
              <w:t xml:space="preserve"> under section 117 of the Insurance Act 1966 (“IA”), where the court order for the confirmation of the scheme referred to under section 118 of the IA is made on or after 1 November 2021. </w:t>
            </w:r>
          </w:p>
          <w:p w14:paraId="70DEFE5F" w14:textId="77777777" w:rsidR="008079D2" w:rsidRPr="002D1E1B" w:rsidRDefault="008079D2" w:rsidP="0057761F">
            <w:pPr>
              <w:autoSpaceDE w:val="0"/>
              <w:autoSpaceDN w:val="0"/>
              <w:adjustRightInd w:val="0"/>
              <w:contextualSpacing/>
              <w:jc w:val="both"/>
            </w:pPr>
          </w:p>
          <w:p w14:paraId="35D1808B" w14:textId="38E33813" w:rsidR="008079D2" w:rsidRPr="002D1E1B" w:rsidRDefault="2FDF968A" w:rsidP="0057761F">
            <w:pPr>
              <w:autoSpaceDE w:val="0"/>
              <w:autoSpaceDN w:val="0"/>
              <w:adjustRightInd w:val="0"/>
              <w:contextualSpacing/>
              <w:jc w:val="both"/>
            </w:pPr>
            <w:r>
              <w:t xml:space="preserve">The adaptation of the tax framework is subject to conditions, which include the following: </w:t>
            </w:r>
          </w:p>
          <w:p w14:paraId="413D1C0E" w14:textId="77777777" w:rsidR="008079D2" w:rsidRPr="002D1E1B" w:rsidRDefault="2FDF968A" w:rsidP="2FDF968A">
            <w:pPr>
              <w:pStyle w:val="ListParagraph"/>
              <w:numPr>
                <w:ilvl w:val="0"/>
                <w:numId w:val="5"/>
              </w:numPr>
              <w:autoSpaceDE w:val="0"/>
              <w:autoSpaceDN w:val="0"/>
              <w:adjustRightInd w:val="0"/>
              <w:contextualSpacing/>
              <w:jc w:val="both"/>
              <w:rPr>
                <w:sz w:val="24"/>
                <w:szCs w:val="24"/>
              </w:rPr>
            </w:pPr>
            <w:r w:rsidRPr="2FDF968A">
              <w:rPr>
                <w:sz w:val="24"/>
                <w:szCs w:val="24"/>
              </w:rPr>
              <w:t xml:space="preserve">The transferee takes over all property, rights, privileges, liabilities, and obligations, etc. of the transferor on the date of completion of the transfer of the transferor’s whole business; and </w:t>
            </w:r>
          </w:p>
          <w:p w14:paraId="606A0A78" w14:textId="7D3EC1F7" w:rsidR="008079D2" w:rsidRPr="002D1E1B" w:rsidRDefault="2FDF968A" w:rsidP="2FDF968A">
            <w:pPr>
              <w:pStyle w:val="ListParagraph"/>
              <w:numPr>
                <w:ilvl w:val="0"/>
                <w:numId w:val="5"/>
              </w:numPr>
              <w:autoSpaceDE w:val="0"/>
              <w:autoSpaceDN w:val="0"/>
              <w:adjustRightInd w:val="0"/>
              <w:contextualSpacing/>
              <w:jc w:val="both"/>
              <w:rPr>
                <w:sz w:val="24"/>
                <w:szCs w:val="24"/>
              </w:rPr>
            </w:pPr>
            <w:r w:rsidRPr="2FDF968A">
              <w:rPr>
                <w:sz w:val="24"/>
                <w:szCs w:val="24"/>
              </w:rPr>
              <w:t>The transferor becomes dormant (</w:t>
            </w:r>
            <w:proofErr w:type="gramStart"/>
            <w:r w:rsidRPr="2FDF968A">
              <w:rPr>
                <w:sz w:val="24"/>
                <w:szCs w:val="24"/>
              </w:rPr>
              <w:t>i.e.</w:t>
            </w:r>
            <w:proofErr w:type="gramEnd"/>
            <w:r w:rsidRPr="2FDF968A">
              <w:rPr>
                <w:sz w:val="24"/>
                <w:szCs w:val="24"/>
              </w:rPr>
              <w:t xml:space="preserve"> ceases to conduct any business or any other activities, and does not derive any income) on the date of completion of the transfer of the transferor’s whole business and remains so until it is dissolved or wound up; and</w:t>
            </w:r>
          </w:p>
          <w:p w14:paraId="5F207F13" w14:textId="2DE4DD9C" w:rsidR="008079D2" w:rsidRDefault="2FDF968A" w:rsidP="2FDF968A">
            <w:pPr>
              <w:pStyle w:val="ListParagraph"/>
              <w:numPr>
                <w:ilvl w:val="0"/>
                <w:numId w:val="5"/>
              </w:numPr>
              <w:autoSpaceDE w:val="0"/>
              <w:autoSpaceDN w:val="0"/>
              <w:adjustRightInd w:val="0"/>
              <w:contextualSpacing/>
              <w:jc w:val="both"/>
              <w:rPr>
                <w:sz w:val="24"/>
                <w:szCs w:val="24"/>
              </w:rPr>
            </w:pPr>
            <w:r w:rsidRPr="2FDF968A">
              <w:rPr>
                <w:sz w:val="24"/>
                <w:szCs w:val="24"/>
              </w:rPr>
              <w:t xml:space="preserve">The transferor is dissolved or wound up before the filing due date of the income tax return for the Year of Assessment (“YA”) related to the basis period in which the scheme of transfer was </w:t>
            </w:r>
            <w:proofErr w:type="gramStart"/>
            <w:r w:rsidRPr="2FDF968A">
              <w:rPr>
                <w:sz w:val="24"/>
                <w:szCs w:val="24"/>
              </w:rPr>
              <w:t>effected</w:t>
            </w:r>
            <w:proofErr w:type="gramEnd"/>
            <w:r w:rsidRPr="2FDF968A">
              <w:rPr>
                <w:sz w:val="24"/>
                <w:szCs w:val="24"/>
              </w:rPr>
              <w:t xml:space="preserve">. </w:t>
            </w:r>
          </w:p>
          <w:p w14:paraId="7C70E667" w14:textId="77777777" w:rsidR="00C80C46" w:rsidRPr="002D1E1B" w:rsidRDefault="00C80C46" w:rsidP="0057761F">
            <w:pPr>
              <w:pStyle w:val="ListParagraph"/>
              <w:autoSpaceDE w:val="0"/>
              <w:autoSpaceDN w:val="0"/>
              <w:adjustRightInd w:val="0"/>
              <w:contextualSpacing/>
              <w:jc w:val="both"/>
              <w:rPr>
                <w:sz w:val="24"/>
                <w:szCs w:val="24"/>
              </w:rPr>
            </w:pPr>
          </w:p>
          <w:p w14:paraId="7CB7E1CD" w14:textId="77777777" w:rsidR="008079D2" w:rsidRPr="002D1E1B" w:rsidRDefault="2FDF968A" w:rsidP="0057761F">
            <w:pPr>
              <w:autoSpaceDE w:val="0"/>
              <w:autoSpaceDN w:val="0"/>
              <w:adjustRightInd w:val="0"/>
              <w:contextualSpacing/>
              <w:jc w:val="both"/>
            </w:pPr>
            <w:r>
              <w:lastRenderedPageBreak/>
              <w:t xml:space="preserve">The tax treatments under the tax framework will apply with modifications where appropriate under a new provision in the ITA as the provisions under section 34C of the ITA cannot cover business transfers. </w:t>
            </w:r>
          </w:p>
          <w:p w14:paraId="207D399E" w14:textId="4314CDCF" w:rsidR="008079D2" w:rsidRPr="00234370" w:rsidRDefault="008079D2" w:rsidP="0057761F">
            <w:pPr>
              <w:jc w:val="both"/>
              <w:rPr>
                <w:color w:val="000000"/>
                <w:lang w:val="en-SG" w:eastAsia="zh-CN"/>
              </w:rPr>
            </w:pPr>
          </w:p>
        </w:tc>
        <w:tc>
          <w:tcPr>
            <w:tcW w:w="2082" w:type="dxa"/>
          </w:tcPr>
          <w:p w14:paraId="1820B9EE" w14:textId="2125AECA" w:rsidR="008079D2" w:rsidRDefault="2FDF968A" w:rsidP="0057761F">
            <w:pPr>
              <w:jc w:val="both"/>
            </w:pPr>
            <w:r>
              <w:lastRenderedPageBreak/>
              <w:t>Section 34CA</w:t>
            </w:r>
          </w:p>
          <w:p w14:paraId="3A898DB1" w14:textId="77777777" w:rsidR="008079D2" w:rsidRDefault="008079D2" w:rsidP="0057761F">
            <w:pPr>
              <w:jc w:val="both"/>
            </w:pPr>
          </w:p>
          <w:p w14:paraId="7F181C2A" w14:textId="6503490A" w:rsidR="008079D2" w:rsidRPr="000974A2" w:rsidRDefault="2FDF968A" w:rsidP="0057761F">
            <w:pPr>
              <w:jc w:val="both"/>
            </w:pPr>
            <w:r>
              <w:t xml:space="preserve">[Clause </w:t>
            </w:r>
            <w:r w:rsidR="519B5A91">
              <w:t>17</w:t>
            </w:r>
            <w:r>
              <w:t>]</w:t>
            </w:r>
          </w:p>
        </w:tc>
      </w:tr>
      <w:tr w:rsidR="008079D2" w:rsidRPr="000974A2" w14:paraId="379B5C23" w14:textId="77777777" w:rsidTr="2FDF968A">
        <w:tc>
          <w:tcPr>
            <w:tcW w:w="846" w:type="dxa"/>
          </w:tcPr>
          <w:p w14:paraId="491ED8B7" w14:textId="77777777" w:rsidR="008079D2" w:rsidRPr="000974A2" w:rsidRDefault="008079D2" w:rsidP="0057761F">
            <w:pPr>
              <w:widowControl w:val="0"/>
              <w:numPr>
                <w:ilvl w:val="0"/>
                <w:numId w:val="2"/>
              </w:numPr>
              <w:jc w:val="both"/>
              <w:rPr>
                <w:rFonts w:eastAsia="PMingLiU"/>
                <w:b/>
              </w:rPr>
            </w:pPr>
          </w:p>
        </w:tc>
        <w:tc>
          <w:tcPr>
            <w:tcW w:w="3260" w:type="dxa"/>
          </w:tcPr>
          <w:p w14:paraId="3F6CB9C0" w14:textId="6544C20A" w:rsidR="008079D2" w:rsidRPr="000974A2" w:rsidRDefault="2FDF968A" w:rsidP="0057761F">
            <w:pPr>
              <w:pStyle w:val="Default"/>
              <w:jc w:val="both"/>
            </w:pPr>
            <w:r w:rsidRPr="2FDF968A">
              <w:rPr>
                <w:color w:val="auto"/>
              </w:rPr>
              <w:t>Extend and rationalise the tax incentives for Project and Infrastructure Finance</w:t>
            </w:r>
          </w:p>
        </w:tc>
        <w:tc>
          <w:tcPr>
            <w:tcW w:w="6869" w:type="dxa"/>
          </w:tcPr>
          <w:p w14:paraId="1A3C5B85" w14:textId="7A304037" w:rsidR="008079D2" w:rsidRPr="002D1E1B" w:rsidRDefault="2FDF968A" w:rsidP="2FDF968A">
            <w:pPr>
              <w:pStyle w:val="Default"/>
              <w:jc w:val="both"/>
              <w:rPr>
                <w:color w:val="auto"/>
              </w:rPr>
            </w:pPr>
            <w:r w:rsidRPr="2FDF968A">
              <w:rPr>
                <w:color w:val="auto"/>
              </w:rPr>
              <w:t xml:space="preserve">The following tax incentive schemes for Project and Infrastructure Finance were due to expire on 31 December 2022: </w:t>
            </w:r>
          </w:p>
          <w:p w14:paraId="188FC686" w14:textId="77777777" w:rsidR="008079D2" w:rsidRPr="002D1E1B" w:rsidRDefault="2FDF968A" w:rsidP="2FDF968A">
            <w:pPr>
              <w:pStyle w:val="Default"/>
              <w:numPr>
                <w:ilvl w:val="0"/>
                <w:numId w:val="6"/>
              </w:numPr>
              <w:jc w:val="both"/>
              <w:rPr>
                <w:color w:val="auto"/>
              </w:rPr>
            </w:pPr>
            <w:r w:rsidRPr="2FDF968A">
              <w:rPr>
                <w:color w:val="auto"/>
              </w:rPr>
              <w:t>Exemption of qualifying income from qualifying project debt securities;</w:t>
            </w:r>
          </w:p>
          <w:p w14:paraId="5EBFC7E9" w14:textId="77777777" w:rsidR="008079D2" w:rsidRPr="002D1E1B" w:rsidRDefault="2FDF968A" w:rsidP="2FDF968A">
            <w:pPr>
              <w:pStyle w:val="Default"/>
              <w:numPr>
                <w:ilvl w:val="0"/>
                <w:numId w:val="6"/>
              </w:numPr>
              <w:jc w:val="both"/>
              <w:rPr>
                <w:color w:val="auto"/>
              </w:rPr>
            </w:pPr>
            <w:r w:rsidRPr="2FDF968A">
              <w:rPr>
                <w:color w:val="auto"/>
              </w:rPr>
              <w:t xml:space="preserve">Exemption of qualifying foreign-sourced income from qualifying offshore infrastructure projects/assets received by approved entities listed on the Singapore Exchange; and </w:t>
            </w:r>
          </w:p>
          <w:p w14:paraId="7E652F8D" w14:textId="4F5046B9" w:rsidR="008079D2" w:rsidRPr="002D1E1B" w:rsidRDefault="2FDF968A" w:rsidP="2FDF968A">
            <w:pPr>
              <w:pStyle w:val="Default"/>
              <w:numPr>
                <w:ilvl w:val="0"/>
                <w:numId w:val="6"/>
              </w:numPr>
              <w:jc w:val="both"/>
              <w:rPr>
                <w:color w:val="auto"/>
              </w:rPr>
            </w:pPr>
            <w:r w:rsidRPr="2FDF968A">
              <w:rPr>
                <w:color w:val="auto"/>
              </w:rPr>
              <w:t xml:space="preserve">Concessionary tax rate of 10% on qualifying income derived by an approved Infrastructure Trustee-Manager/Fund Management Company from managing qualifying SGX-listed Business Trusts/Infrastructure funds in relation to qualifying offshore infrastructure projects/assets (“ITMFM scheme”). </w:t>
            </w:r>
          </w:p>
          <w:p w14:paraId="0ADE225F" w14:textId="77777777" w:rsidR="008079D2" w:rsidRPr="002D1E1B" w:rsidRDefault="008079D2" w:rsidP="0057761F">
            <w:pPr>
              <w:pStyle w:val="Default"/>
              <w:jc w:val="both"/>
              <w:rPr>
                <w:color w:val="auto"/>
              </w:rPr>
            </w:pPr>
          </w:p>
          <w:p w14:paraId="06D94A97" w14:textId="50600AA6" w:rsidR="008079D2" w:rsidRPr="002D1E1B" w:rsidRDefault="2FDF968A" w:rsidP="2FDF968A">
            <w:pPr>
              <w:pStyle w:val="Default"/>
              <w:jc w:val="both"/>
              <w:rPr>
                <w:color w:val="auto"/>
              </w:rPr>
            </w:pPr>
            <w:r w:rsidRPr="2FDF968A">
              <w:rPr>
                <w:color w:val="auto"/>
              </w:rPr>
              <w:t xml:space="preserve">To continue supporting the development of Singapore as an infrastructure financing hub, the existing tax incentive schemes for Project and Infrastructure Finance under (a) and (b) will be extended till 31 December 2025. </w:t>
            </w:r>
          </w:p>
          <w:p w14:paraId="590F3F8C" w14:textId="77777777" w:rsidR="008079D2" w:rsidRPr="002D1E1B" w:rsidRDefault="008079D2" w:rsidP="0057761F">
            <w:pPr>
              <w:pStyle w:val="Default"/>
              <w:jc w:val="both"/>
              <w:rPr>
                <w:color w:val="auto"/>
              </w:rPr>
            </w:pPr>
          </w:p>
          <w:p w14:paraId="3905BCA5" w14:textId="5307681A" w:rsidR="008079D2" w:rsidRPr="002D1E1B" w:rsidRDefault="2FDF968A" w:rsidP="2FDF968A">
            <w:pPr>
              <w:pStyle w:val="Default"/>
              <w:jc w:val="both"/>
              <w:rPr>
                <w:color w:val="auto"/>
              </w:rPr>
            </w:pPr>
            <w:r w:rsidRPr="2FDF968A">
              <w:rPr>
                <w:color w:val="auto"/>
              </w:rPr>
              <w:t xml:space="preserve">As part of our regular review of tax incentives including their relevance, the ITMFM scheme in (c) will be allowed to lapse after 31 December 2022. Existing ITMFM scheme recipients will continue to enjoy the tax benefits for the remaining tenure of their existing awards. </w:t>
            </w:r>
          </w:p>
          <w:p w14:paraId="3C9BD353" w14:textId="77777777" w:rsidR="008079D2" w:rsidRDefault="008079D2" w:rsidP="0057761F">
            <w:pPr>
              <w:pStyle w:val="Default"/>
              <w:jc w:val="both"/>
            </w:pPr>
          </w:p>
          <w:p w14:paraId="3D1F49ED" w14:textId="2F4BF59D" w:rsidR="008079D2" w:rsidRPr="00234370" w:rsidRDefault="00076415" w:rsidP="0057761F">
            <w:pPr>
              <w:pStyle w:val="Default"/>
              <w:jc w:val="both"/>
            </w:pPr>
            <w:r w:rsidRPr="002D1E1B">
              <w:rPr>
                <w:color w:val="auto"/>
              </w:rPr>
              <w:t>The proposed amendments</w:t>
            </w:r>
            <w:r>
              <w:rPr>
                <w:color w:val="auto"/>
              </w:rPr>
              <w:t>, if approved,</w:t>
            </w:r>
            <w:r w:rsidRPr="002D1E1B">
              <w:rPr>
                <w:color w:val="auto"/>
              </w:rPr>
              <w:t xml:space="preserve"> will take effect from 1 January 2023.</w:t>
            </w:r>
          </w:p>
        </w:tc>
        <w:tc>
          <w:tcPr>
            <w:tcW w:w="2082" w:type="dxa"/>
          </w:tcPr>
          <w:p w14:paraId="072326F8" w14:textId="2478DB75" w:rsidR="008079D2" w:rsidRDefault="2FDF968A" w:rsidP="2FDF968A">
            <w:pPr>
              <w:pStyle w:val="ContentinTable"/>
              <w:spacing w:before="0" w:after="0" w:line="240" w:lineRule="auto"/>
              <w:rPr>
                <w:color w:val="000000" w:themeColor="text1"/>
                <w:sz w:val="24"/>
              </w:rPr>
            </w:pPr>
            <w:r w:rsidRPr="2FDF968A">
              <w:rPr>
                <w:color w:val="000000" w:themeColor="text1"/>
                <w:sz w:val="24"/>
              </w:rPr>
              <w:t>Sections 13, 45</w:t>
            </w:r>
            <w:r w:rsidR="00FC3076">
              <w:rPr>
                <w:color w:val="000000" w:themeColor="text1"/>
                <w:sz w:val="24"/>
              </w:rPr>
              <w:t xml:space="preserve"> and</w:t>
            </w:r>
            <w:r w:rsidRPr="2FDF968A">
              <w:rPr>
                <w:color w:val="000000" w:themeColor="text1"/>
                <w:sz w:val="24"/>
              </w:rPr>
              <w:t xml:space="preserve"> 45A</w:t>
            </w:r>
          </w:p>
          <w:p w14:paraId="6A9AAC17" w14:textId="77777777" w:rsidR="008079D2" w:rsidRDefault="008079D2" w:rsidP="0057761F">
            <w:pPr>
              <w:pStyle w:val="ContentinTable"/>
              <w:spacing w:before="0" w:after="0" w:line="240" w:lineRule="auto"/>
              <w:rPr>
                <w:color w:val="000000" w:themeColor="text1"/>
                <w:sz w:val="24"/>
              </w:rPr>
            </w:pPr>
          </w:p>
          <w:p w14:paraId="7463E6D4" w14:textId="20B37B04" w:rsidR="008079D2" w:rsidRPr="000974A2" w:rsidRDefault="519B5A91" w:rsidP="2FDF968A">
            <w:pPr>
              <w:pStyle w:val="ContentinTable"/>
              <w:spacing w:before="0" w:after="0" w:line="240" w:lineRule="auto"/>
              <w:rPr>
                <w:color w:val="000000" w:themeColor="text1"/>
                <w:sz w:val="24"/>
              </w:rPr>
            </w:pPr>
            <w:r w:rsidRPr="519B5A91">
              <w:rPr>
                <w:color w:val="000000" w:themeColor="text1"/>
                <w:sz w:val="24"/>
              </w:rPr>
              <w:t>[Clauses 7, 25 and 26]</w:t>
            </w:r>
          </w:p>
        </w:tc>
      </w:tr>
      <w:tr w:rsidR="008079D2" w:rsidRPr="000974A2" w14:paraId="7106D1D8" w14:textId="77777777" w:rsidTr="2FDF968A">
        <w:tc>
          <w:tcPr>
            <w:tcW w:w="846" w:type="dxa"/>
          </w:tcPr>
          <w:p w14:paraId="5E2A6DC6" w14:textId="77777777" w:rsidR="008079D2" w:rsidRPr="000974A2" w:rsidRDefault="008079D2" w:rsidP="0057761F">
            <w:pPr>
              <w:widowControl w:val="0"/>
              <w:numPr>
                <w:ilvl w:val="0"/>
                <w:numId w:val="2"/>
              </w:numPr>
              <w:jc w:val="both"/>
              <w:rPr>
                <w:rFonts w:eastAsia="PMingLiU"/>
                <w:b/>
              </w:rPr>
            </w:pPr>
          </w:p>
        </w:tc>
        <w:tc>
          <w:tcPr>
            <w:tcW w:w="3260" w:type="dxa"/>
          </w:tcPr>
          <w:p w14:paraId="1CC23493" w14:textId="473278A4" w:rsidR="008079D2" w:rsidRPr="000974A2" w:rsidRDefault="2FDF968A" w:rsidP="2FDF968A">
            <w:pPr>
              <w:widowControl w:val="0"/>
              <w:jc w:val="both"/>
              <w:rPr>
                <w:color w:val="000000" w:themeColor="text1"/>
              </w:rPr>
            </w:pPr>
            <w:r>
              <w:t>Change the basis of preparation of tax computations for insurers from financial statements (“FS”) to MAS Statutory Returns</w:t>
            </w:r>
          </w:p>
        </w:tc>
        <w:tc>
          <w:tcPr>
            <w:tcW w:w="6869" w:type="dxa"/>
          </w:tcPr>
          <w:p w14:paraId="31FBF2EC" w14:textId="77777777" w:rsidR="008079D2" w:rsidRPr="002D1E1B" w:rsidRDefault="2FDF968A" w:rsidP="2FDF968A">
            <w:pPr>
              <w:pStyle w:val="Default"/>
              <w:jc w:val="both"/>
              <w:rPr>
                <w:color w:val="auto"/>
              </w:rPr>
            </w:pPr>
            <w:r w:rsidRPr="2FDF968A">
              <w:rPr>
                <w:color w:val="auto"/>
              </w:rPr>
              <w:t xml:space="preserve">Insurers generally rely on their FS prepared in accordance with the accounting standards as the basis for preparing their tax computations. The insurance returns filed with MAS for regulatory purposes (“MAS Statutory Returns”) are also currently used to allow insurers to apply the tax rules applicable to insurers. </w:t>
            </w:r>
          </w:p>
          <w:p w14:paraId="29A31104" w14:textId="77777777" w:rsidR="008079D2" w:rsidRPr="002D1E1B" w:rsidRDefault="008079D2" w:rsidP="0057761F">
            <w:pPr>
              <w:pStyle w:val="Default"/>
              <w:jc w:val="both"/>
              <w:rPr>
                <w:color w:val="auto"/>
              </w:rPr>
            </w:pPr>
          </w:p>
          <w:p w14:paraId="6FD092A7" w14:textId="70A0D3CA" w:rsidR="008079D2" w:rsidRPr="002D1E1B" w:rsidRDefault="2FDF968A" w:rsidP="2FDF968A">
            <w:pPr>
              <w:pStyle w:val="Default"/>
              <w:jc w:val="both"/>
              <w:rPr>
                <w:color w:val="auto"/>
              </w:rPr>
            </w:pPr>
            <w:r w:rsidRPr="2FDF968A">
              <w:rPr>
                <w:color w:val="auto"/>
              </w:rPr>
              <w:t xml:space="preserve">With the adoption of the new Financial Reporting Standard (“FRS”) 117 for the preparation of the FS, the MAS Statutory Returns instead of the FS will be used as the basis for preparing tax computations for insurers. Related consequential adjustments to existing tax treatments will also be introduced. </w:t>
            </w:r>
          </w:p>
          <w:p w14:paraId="2F970675" w14:textId="77777777" w:rsidR="008079D2" w:rsidRPr="002D1E1B" w:rsidRDefault="008079D2" w:rsidP="0057761F">
            <w:pPr>
              <w:pStyle w:val="Default"/>
              <w:jc w:val="both"/>
              <w:rPr>
                <w:color w:val="auto"/>
              </w:rPr>
            </w:pPr>
          </w:p>
          <w:p w14:paraId="4FDF7EA9" w14:textId="77777777" w:rsidR="008079D2" w:rsidRPr="002D1E1B" w:rsidRDefault="2FDF968A" w:rsidP="2FDF968A">
            <w:pPr>
              <w:pStyle w:val="Default"/>
              <w:jc w:val="both"/>
              <w:rPr>
                <w:color w:val="auto"/>
              </w:rPr>
            </w:pPr>
            <w:r w:rsidRPr="2FDF968A">
              <w:rPr>
                <w:color w:val="auto"/>
              </w:rPr>
              <w:t>This change is in view of the following:</w:t>
            </w:r>
          </w:p>
          <w:p w14:paraId="4C0AF029" w14:textId="77777777" w:rsidR="008079D2" w:rsidRPr="002D1E1B" w:rsidRDefault="2FDF968A" w:rsidP="2FDF968A">
            <w:pPr>
              <w:pStyle w:val="Default"/>
              <w:numPr>
                <w:ilvl w:val="0"/>
                <w:numId w:val="7"/>
              </w:numPr>
              <w:jc w:val="both"/>
              <w:rPr>
                <w:color w:val="auto"/>
              </w:rPr>
            </w:pPr>
            <w:r w:rsidRPr="2FDF968A">
              <w:rPr>
                <w:color w:val="auto"/>
              </w:rPr>
              <w:t>Insurers will not be able to prepare their tax computations using the FS prepared in accordance with FRS 117 as the FS will not provide sufficient information necessary to apply the existing tax rules such as those under section 26 of the ITA.</w:t>
            </w:r>
          </w:p>
          <w:p w14:paraId="5AAC3BC5" w14:textId="77777777" w:rsidR="008079D2" w:rsidRPr="002D1E1B" w:rsidRDefault="2FDF968A" w:rsidP="2FDF968A">
            <w:pPr>
              <w:pStyle w:val="Default"/>
              <w:numPr>
                <w:ilvl w:val="0"/>
                <w:numId w:val="7"/>
              </w:numPr>
              <w:jc w:val="both"/>
              <w:rPr>
                <w:color w:val="auto"/>
              </w:rPr>
            </w:pPr>
            <w:r w:rsidRPr="2FDF968A">
              <w:rPr>
                <w:color w:val="auto"/>
              </w:rPr>
              <w:t xml:space="preserve">Using MAS Statutory Returns as the basis for preparation of tax computations will allow the existing tax rules and tax incentives (if applicable) to continue to apply without adding substantial tax compliance burden on insurers. </w:t>
            </w:r>
          </w:p>
          <w:p w14:paraId="1C7DDD78" w14:textId="77777777" w:rsidR="008079D2" w:rsidRPr="002D1E1B" w:rsidRDefault="008079D2" w:rsidP="0057761F">
            <w:pPr>
              <w:pStyle w:val="Default"/>
              <w:jc w:val="both"/>
              <w:rPr>
                <w:color w:val="auto"/>
              </w:rPr>
            </w:pPr>
          </w:p>
          <w:p w14:paraId="24B02BA3" w14:textId="259202D5" w:rsidR="008079D2" w:rsidRPr="000974A2" w:rsidRDefault="2FDF968A" w:rsidP="0057761F">
            <w:pPr>
              <w:ind w:right="113"/>
              <w:jc w:val="both"/>
            </w:pPr>
            <w:r>
              <w:t>The proposed amendments, if approved, will take effect from the YA 2024 (or YA 2025 for insurers whose financial year end is not 31 December).</w:t>
            </w:r>
          </w:p>
        </w:tc>
        <w:tc>
          <w:tcPr>
            <w:tcW w:w="2082" w:type="dxa"/>
          </w:tcPr>
          <w:p w14:paraId="19CAF1BE" w14:textId="3301A991" w:rsidR="008079D2" w:rsidRDefault="2FDF968A" w:rsidP="0057761F">
            <w:pPr>
              <w:ind w:right="113"/>
              <w:jc w:val="both"/>
            </w:pPr>
            <w:r>
              <w:t xml:space="preserve">Sections 26, 34A, 34AA, 34AAA, 34AB, 34G, 62, </w:t>
            </w:r>
            <w:r w:rsidR="519B5A91">
              <w:t>62B</w:t>
            </w:r>
            <w:r w:rsidR="008532A6">
              <w:t xml:space="preserve"> and </w:t>
            </w:r>
            <w:r>
              <w:t>63</w:t>
            </w:r>
          </w:p>
          <w:p w14:paraId="19A8D6E0" w14:textId="77777777" w:rsidR="008079D2" w:rsidRDefault="008079D2" w:rsidP="0057761F">
            <w:pPr>
              <w:ind w:right="113"/>
              <w:jc w:val="both"/>
            </w:pPr>
          </w:p>
          <w:p w14:paraId="1586D785" w14:textId="19699582" w:rsidR="008079D2" w:rsidRPr="000974A2" w:rsidRDefault="519B5A91" w:rsidP="0057761F">
            <w:pPr>
              <w:ind w:right="113"/>
              <w:jc w:val="both"/>
            </w:pPr>
            <w:r>
              <w:t>[Clauses 11, 13, 14, 15, 16, 18, 29, 30</w:t>
            </w:r>
            <w:r w:rsidR="009821C3">
              <w:t xml:space="preserve"> and</w:t>
            </w:r>
            <w:r>
              <w:t xml:space="preserve"> 31]</w:t>
            </w:r>
          </w:p>
        </w:tc>
      </w:tr>
      <w:tr w:rsidR="008079D2" w:rsidRPr="000974A2" w14:paraId="4F7401C3" w14:textId="77777777" w:rsidTr="2FDF968A">
        <w:trPr>
          <w:trHeight w:val="389"/>
        </w:trPr>
        <w:tc>
          <w:tcPr>
            <w:tcW w:w="846" w:type="dxa"/>
          </w:tcPr>
          <w:p w14:paraId="2DAD4514" w14:textId="77777777" w:rsidR="008079D2" w:rsidRPr="000974A2" w:rsidRDefault="008079D2" w:rsidP="0057761F">
            <w:pPr>
              <w:widowControl w:val="0"/>
              <w:numPr>
                <w:ilvl w:val="0"/>
                <w:numId w:val="2"/>
              </w:numPr>
              <w:jc w:val="both"/>
              <w:rPr>
                <w:rFonts w:eastAsia="PMingLiU"/>
                <w:b/>
              </w:rPr>
            </w:pPr>
          </w:p>
        </w:tc>
        <w:tc>
          <w:tcPr>
            <w:tcW w:w="3260" w:type="dxa"/>
          </w:tcPr>
          <w:p w14:paraId="6B3FE29C" w14:textId="44867C63" w:rsidR="008079D2" w:rsidRPr="000974A2" w:rsidRDefault="2FDF968A" w:rsidP="0057761F">
            <w:pPr>
              <w:pStyle w:val="Default"/>
              <w:jc w:val="both"/>
            </w:pPr>
            <w:r>
              <w:t>Facilitate disclosure of company-related information for official duties</w:t>
            </w:r>
          </w:p>
        </w:tc>
        <w:tc>
          <w:tcPr>
            <w:tcW w:w="6869" w:type="dxa"/>
          </w:tcPr>
          <w:p w14:paraId="2C62F37B" w14:textId="18B17A2D" w:rsidR="008079D2" w:rsidRPr="002D1E1B" w:rsidRDefault="2FDF968A" w:rsidP="2FDF968A">
            <w:pPr>
              <w:pStyle w:val="Default"/>
              <w:jc w:val="both"/>
              <w:rPr>
                <w:color w:val="auto"/>
              </w:rPr>
            </w:pPr>
            <w:r w:rsidRPr="2FDF968A">
              <w:rPr>
                <w:color w:val="auto"/>
              </w:rPr>
              <w:t>The confidentiality of information on taxpayers is provided for in sections 6 of the ITA and Goods and Services Tax Act 1993 (“GSTA”).</w:t>
            </w:r>
          </w:p>
          <w:p w14:paraId="6B238F85" w14:textId="77777777" w:rsidR="008079D2" w:rsidRPr="002D1E1B" w:rsidRDefault="008079D2" w:rsidP="0057761F">
            <w:pPr>
              <w:pStyle w:val="Default"/>
              <w:jc w:val="both"/>
              <w:rPr>
                <w:color w:val="auto"/>
              </w:rPr>
            </w:pPr>
          </w:p>
          <w:p w14:paraId="4E45D95A" w14:textId="4E6C591D" w:rsidR="008079D2" w:rsidRPr="002D1E1B" w:rsidRDefault="2FDF968A" w:rsidP="2FDF968A">
            <w:pPr>
              <w:pStyle w:val="Default"/>
              <w:jc w:val="both"/>
              <w:rPr>
                <w:color w:val="auto"/>
              </w:rPr>
            </w:pPr>
            <w:r w:rsidRPr="2FDF968A">
              <w:rPr>
                <w:color w:val="auto"/>
              </w:rPr>
              <w:t xml:space="preserve">Currently, the Inland Revenue Authority of Singapore (“IRAS”) can disclose information collected under the ITA to a public officer (or </w:t>
            </w:r>
            <w:r w:rsidRPr="2FDF968A">
              <w:rPr>
                <w:color w:val="auto"/>
              </w:rPr>
              <w:lastRenderedPageBreak/>
              <w:t>any other authorised person outside the public sector who is engaged by the Government or a statutory board) for the performance of his official duties in administering any written law or public scheme, where taxpayers have provided consent. In the absence of taxpayers’ consent, IRAS can only disclose information on taxpayers to public agencies where specific legislative exemptions have been provided (e.g. to the Department of Statistics).</w:t>
            </w:r>
          </w:p>
          <w:p w14:paraId="68B02B3C" w14:textId="77777777" w:rsidR="008079D2" w:rsidRPr="002D1E1B" w:rsidRDefault="008079D2" w:rsidP="0057761F">
            <w:pPr>
              <w:pStyle w:val="Default"/>
              <w:jc w:val="both"/>
              <w:rPr>
                <w:color w:val="auto"/>
              </w:rPr>
            </w:pPr>
          </w:p>
          <w:p w14:paraId="497778F5" w14:textId="6805705F" w:rsidR="008079D2" w:rsidRPr="002D1E1B" w:rsidRDefault="2FDF968A" w:rsidP="2FDF968A">
            <w:pPr>
              <w:pStyle w:val="Default"/>
              <w:jc w:val="both"/>
              <w:rPr>
                <w:color w:val="auto"/>
              </w:rPr>
            </w:pPr>
            <w:r w:rsidRPr="2FDF968A">
              <w:rPr>
                <w:color w:val="auto"/>
              </w:rPr>
              <w:t xml:space="preserve">To support data-driven policymaking, operations, and integrated service delivery, the following changes to the ITA and the GSTA will be made to facilitate the disclosure of company-related information by IRAS for official duties: </w:t>
            </w:r>
          </w:p>
          <w:p w14:paraId="076838E2" w14:textId="77777777" w:rsidR="008079D2" w:rsidRPr="002D1E1B" w:rsidRDefault="2FDF968A" w:rsidP="2FDF968A">
            <w:pPr>
              <w:pStyle w:val="Default"/>
              <w:numPr>
                <w:ilvl w:val="0"/>
                <w:numId w:val="8"/>
              </w:numPr>
              <w:jc w:val="both"/>
              <w:rPr>
                <w:color w:val="auto"/>
              </w:rPr>
            </w:pPr>
            <w:r w:rsidRPr="2FDF968A">
              <w:rPr>
                <w:color w:val="auto"/>
              </w:rPr>
              <w:t>Where taxpayers have provided consent for their information to be shared, IRAS can disclose such information to a public officer (or any other authorised person outside the public sector who is engaged by the Government or a statutory board) for the performance of his official duties; and</w:t>
            </w:r>
          </w:p>
          <w:p w14:paraId="6CC89B11" w14:textId="6642D773" w:rsidR="008079D2" w:rsidRDefault="2FDF968A" w:rsidP="2FDF968A">
            <w:pPr>
              <w:pStyle w:val="Default"/>
              <w:numPr>
                <w:ilvl w:val="0"/>
                <w:numId w:val="8"/>
              </w:numPr>
              <w:jc w:val="both"/>
              <w:rPr>
                <w:color w:val="auto"/>
              </w:rPr>
            </w:pPr>
            <w:r w:rsidRPr="2FDF968A">
              <w:rPr>
                <w:color w:val="auto"/>
              </w:rPr>
              <w:t xml:space="preserve">IRAS may also disclose a prescribed list of identifiable information on companies to public sector agencies for the performance of official duties, without the taxpayer’s consent. The </w:t>
            </w:r>
            <w:r w:rsidR="00413C3A">
              <w:rPr>
                <w:color w:val="auto"/>
              </w:rPr>
              <w:t>company-specific</w:t>
            </w:r>
            <w:r w:rsidRPr="2FDF968A">
              <w:rPr>
                <w:color w:val="auto"/>
              </w:rPr>
              <w:t xml:space="preserve"> information shared will be made less granular by IRAS to preserve the </w:t>
            </w:r>
            <w:r w:rsidR="00CA6273">
              <w:rPr>
                <w:color w:val="auto"/>
              </w:rPr>
              <w:t>company’s confidentiality</w:t>
            </w:r>
            <w:r w:rsidRPr="2FDF968A">
              <w:rPr>
                <w:color w:val="auto"/>
              </w:rPr>
              <w:t>. For instance, the prescribed list will include the sales revenue band an identified company belongs to, but not the exact value of its sales revenue. Such information will not be disclosed to any person outside the public sector even if the person is engaged by the Government or a statutory board. The prescribed list is below.</w:t>
            </w:r>
          </w:p>
          <w:p w14:paraId="5997C483" w14:textId="77777777" w:rsidR="00A9151D" w:rsidRPr="00A9151D" w:rsidRDefault="00A9151D" w:rsidP="0057761F">
            <w:pPr>
              <w:pStyle w:val="Default"/>
              <w:ind w:left="720"/>
              <w:jc w:val="both"/>
              <w:rPr>
                <w:color w:val="auto"/>
              </w:rPr>
            </w:pPr>
          </w:p>
          <w:tbl>
            <w:tblPr>
              <w:tblStyle w:val="TableGrid"/>
              <w:tblW w:w="5000" w:type="pct"/>
              <w:tblLayout w:type="fixed"/>
              <w:tblCellMar>
                <w:top w:w="29" w:type="dxa"/>
                <w:left w:w="115" w:type="dxa"/>
                <w:bottom w:w="29" w:type="dxa"/>
                <w:right w:w="115" w:type="dxa"/>
              </w:tblCellMar>
              <w:tblLook w:val="04A0" w:firstRow="1" w:lastRow="0" w:firstColumn="1" w:lastColumn="0" w:noHBand="0" w:noVBand="1"/>
            </w:tblPr>
            <w:tblGrid>
              <w:gridCol w:w="589"/>
              <w:gridCol w:w="4678"/>
              <w:gridCol w:w="1376"/>
            </w:tblGrid>
            <w:tr w:rsidR="008079D2" w:rsidRPr="002D1E1B" w14:paraId="66409828" w14:textId="77777777" w:rsidTr="2FDF968A">
              <w:trPr>
                <w:trHeight w:val="150"/>
              </w:trPr>
              <w:tc>
                <w:tcPr>
                  <w:tcW w:w="5000" w:type="pct"/>
                  <w:gridSpan w:val="3"/>
                  <w:shd w:val="clear" w:color="auto" w:fill="EEECE1" w:themeFill="background2"/>
                </w:tcPr>
                <w:p w14:paraId="66F1D335" w14:textId="49ED5F0D" w:rsidR="008079D2" w:rsidRPr="002D1E1B" w:rsidRDefault="2FDF968A" w:rsidP="00903EC7">
                  <w:pPr>
                    <w:framePr w:hSpace="180" w:wrap="around" w:vAnchor="text" w:hAnchor="text" w:y="1"/>
                    <w:suppressOverlap/>
                    <w:jc w:val="both"/>
                    <w:outlineLvl w:val="0"/>
                    <w:rPr>
                      <w:b/>
                      <w:bCs/>
                    </w:rPr>
                  </w:pPr>
                  <w:r w:rsidRPr="2FDF968A">
                    <w:rPr>
                      <w:b/>
                      <w:bCs/>
                    </w:rPr>
                    <w:t xml:space="preserve">List of identifiable company Income Tax data items </w:t>
                  </w:r>
                </w:p>
              </w:tc>
            </w:tr>
            <w:tr w:rsidR="008079D2" w:rsidRPr="002D1E1B" w14:paraId="3F047BBE" w14:textId="77777777" w:rsidTr="2FDF968A">
              <w:tc>
                <w:tcPr>
                  <w:tcW w:w="443" w:type="pct"/>
                </w:tcPr>
                <w:p w14:paraId="571A12B1" w14:textId="77777777" w:rsidR="008079D2" w:rsidRPr="002D1E1B" w:rsidRDefault="2FDF968A" w:rsidP="00903EC7">
                  <w:pPr>
                    <w:framePr w:hSpace="180" w:wrap="around" w:vAnchor="text" w:hAnchor="text" w:y="1"/>
                    <w:suppressOverlap/>
                    <w:jc w:val="both"/>
                    <w:outlineLvl w:val="0"/>
                    <w:rPr>
                      <w:b/>
                      <w:bCs/>
                    </w:rPr>
                  </w:pPr>
                  <w:r w:rsidRPr="2FDF968A">
                    <w:rPr>
                      <w:b/>
                      <w:bCs/>
                    </w:rPr>
                    <w:lastRenderedPageBreak/>
                    <w:t>No</w:t>
                  </w:r>
                </w:p>
              </w:tc>
              <w:tc>
                <w:tcPr>
                  <w:tcW w:w="3521" w:type="pct"/>
                </w:tcPr>
                <w:p w14:paraId="1E4BFA2D" w14:textId="77777777" w:rsidR="008079D2" w:rsidRPr="002D1E1B" w:rsidRDefault="2FDF968A" w:rsidP="00903EC7">
                  <w:pPr>
                    <w:framePr w:hSpace="180" w:wrap="around" w:vAnchor="text" w:hAnchor="text" w:y="1"/>
                    <w:suppressOverlap/>
                    <w:jc w:val="both"/>
                    <w:outlineLvl w:val="0"/>
                    <w:rPr>
                      <w:b/>
                      <w:bCs/>
                    </w:rPr>
                  </w:pPr>
                  <w:r w:rsidRPr="2FDF968A">
                    <w:rPr>
                      <w:b/>
                      <w:bCs/>
                    </w:rPr>
                    <w:t>Data Item</w:t>
                  </w:r>
                </w:p>
              </w:tc>
              <w:tc>
                <w:tcPr>
                  <w:tcW w:w="1036" w:type="pct"/>
                </w:tcPr>
                <w:p w14:paraId="63C95D13" w14:textId="77777777" w:rsidR="008079D2" w:rsidRPr="002D1E1B" w:rsidRDefault="2FDF968A" w:rsidP="00903EC7">
                  <w:pPr>
                    <w:framePr w:hSpace="180" w:wrap="around" w:vAnchor="text" w:hAnchor="text" w:y="1"/>
                    <w:suppressOverlap/>
                    <w:jc w:val="both"/>
                    <w:outlineLvl w:val="0"/>
                    <w:rPr>
                      <w:b/>
                      <w:bCs/>
                    </w:rPr>
                  </w:pPr>
                  <w:r w:rsidRPr="2FDF968A">
                    <w:rPr>
                      <w:b/>
                      <w:bCs/>
                    </w:rPr>
                    <w:t>Form in which data is shared</w:t>
                  </w:r>
                </w:p>
              </w:tc>
            </w:tr>
            <w:tr w:rsidR="008079D2" w:rsidRPr="002D1E1B" w14:paraId="0786C6D2" w14:textId="77777777" w:rsidTr="2FDF968A">
              <w:tc>
                <w:tcPr>
                  <w:tcW w:w="443" w:type="pct"/>
                </w:tcPr>
                <w:p w14:paraId="2A0BF9B2" w14:textId="77777777" w:rsidR="008079D2" w:rsidRPr="002D1E1B" w:rsidRDefault="2FDF968A" w:rsidP="00903EC7">
                  <w:pPr>
                    <w:framePr w:hSpace="180" w:wrap="around" w:vAnchor="text" w:hAnchor="text" w:y="1"/>
                    <w:suppressOverlap/>
                    <w:jc w:val="both"/>
                    <w:outlineLvl w:val="0"/>
                  </w:pPr>
                  <w:r>
                    <w:t>1</w:t>
                  </w:r>
                </w:p>
              </w:tc>
              <w:tc>
                <w:tcPr>
                  <w:tcW w:w="3521" w:type="pct"/>
                </w:tcPr>
                <w:p w14:paraId="2876FB0E" w14:textId="77777777" w:rsidR="008079D2" w:rsidRPr="002D1E1B" w:rsidRDefault="2FDF968A" w:rsidP="00903EC7">
                  <w:pPr>
                    <w:framePr w:hSpace="180" w:wrap="around" w:vAnchor="text" w:hAnchor="text" w:y="1"/>
                    <w:suppressOverlap/>
                    <w:jc w:val="both"/>
                    <w:outlineLvl w:val="0"/>
                  </w:pPr>
                  <w:r w:rsidRPr="2FDF968A">
                    <w:rPr>
                      <w:rFonts w:eastAsia="DengXian"/>
                    </w:rPr>
                    <w:t>Company Name</w:t>
                  </w:r>
                </w:p>
              </w:tc>
              <w:tc>
                <w:tcPr>
                  <w:tcW w:w="1036" w:type="pct"/>
                </w:tcPr>
                <w:p w14:paraId="778A164F" w14:textId="77777777" w:rsidR="008079D2" w:rsidRPr="002D1E1B" w:rsidRDefault="2FDF968A" w:rsidP="00903EC7">
                  <w:pPr>
                    <w:framePr w:hSpace="180" w:wrap="around" w:vAnchor="text" w:hAnchor="text" w:y="1"/>
                    <w:suppressOverlap/>
                    <w:jc w:val="both"/>
                    <w:outlineLvl w:val="0"/>
                  </w:pPr>
                  <w:r>
                    <w:t>Actual</w:t>
                  </w:r>
                </w:p>
              </w:tc>
            </w:tr>
            <w:tr w:rsidR="008079D2" w:rsidRPr="002D1E1B" w14:paraId="629F371E" w14:textId="77777777" w:rsidTr="2FDF968A">
              <w:tc>
                <w:tcPr>
                  <w:tcW w:w="443" w:type="pct"/>
                </w:tcPr>
                <w:p w14:paraId="58860BFA" w14:textId="77777777" w:rsidR="008079D2" w:rsidRPr="002D1E1B" w:rsidRDefault="2FDF968A" w:rsidP="00903EC7">
                  <w:pPr>
                    <w:framePr w:hSpace="180" w:wrap="around" w:vAnchor="text" w:hAnchor="text" w:y="1"/>
                    <w:suppressOverlap/>
                    <w:jc w:val="both"/>
                    <w:outlineLvl w:val="0"/>
                  </w:pPr>
                  <w:r>
                    <w:t>2</w:t>
                  </w:r>
                </w:p>
              </w:tc>
              <w:tc>
                <w:tcPr>
                  <w:tcW w:w="3521" w:type="pct"/>
                </w:tcPr>
                <w:p w14:paraId="29865DAC" w14:textId="77777777" w:rsidR="008079D2" w:rsidRPr="002D1E1B" w:rsidRDefault="2FDF968A" w:rsidP="00903EC7">
                  <w:pPr>
                    <w:framePr w:hSpace="180" w:wrap="around" w:vAnchor="text" w:hAnchor="text" w:y="1"/>
                    <w:suppressOverlap/>
                    <w:rPr>
                      <w:rFonts w:eastAsia="DengXian"/>
                    </w:rPr>
                  </w:pPr>
                  <w:r w:rsidRPr="2FDF968A">
                    <w:rPr>
                      <w:rFonts w:eastAsia="DengXian"/>
                    </w:rPr>
                    <w:t>Unique Entity Number (“UEN”)</w:t>
                  </w:r>
                </w:p>
              </w:tc>
              <w:tc>
                <w:tcPr>
                  <w:tcW w:w="1036" w:type="pct"/>
                </w:tcPr>
                <w:p w14:paraId="22C45FE2" w14:textId="77777777" w:rsidR="008079D2" w:rsidRPr="002D1E1B" w:rsidRDefault="2FDF968A" w:rsidP="00903EC7">
                  <w:pPr>
                    <w:framePr w:hSpace="180" w:wrap="around" w:vAnchor="text" w:hAnchor="text" w:y="1"/>
                    <w:suppressOverlap/>
                    <w:jc w:val="both"/>
                    <w:outlineLvl w:val="0"/>
                  </w:pPr>
                  <w:r>
                    <w:t>Actual</w:t>
                  </w:r>
                </w:p>
              </w:tc>
            </w:tr>
            <w:tr w:rsidR="008079D2" w:rsidRPr="002D1E1B" w14:paraId="519F7CA2" w14:textId="77777777" w:rsidTr="2FDF968A">
              <w:tc>
                <w:tcPr>
                  <w:tcW w:w="443" w:type="pct"/>
                </w:tcPr>
                <w:p w14:paraId="111267D2" w14:textId="77777777" w:rsidR="008079D2" w:rsidRPr="002D1E1B" w:rsidRDefault="2FDF968A" w:rsidP="00903EC7">
                  <w:pPr>
                    <w:framePr w:hSpace="180" w:wrap="around" w:vAnchor="text" w:hAnchor="text" w:y="1"/>
                    <w:suppressOverlap/>
                    <w:jc w:val="both"/>
                    <w:outlineLvl w:val="0"/>
                  </w:pPr>
                  <w:r>
                    <w:t>3</w:t>
                  </w:r>
                </w:p>
              </w:tc>
              <w:tc>
                <w:tcPr>
                  <w:tcW w:w="3521" w:type="pct"/>
                </w:tcPr>
                <w:p w14:paraId="0A25A8AD" w14:textId="77777777" w:rsidR="008079D2" w:rsidRPr="002D1E1B" w:rsidRDefault="2FDF968A" w:rsidP="00903EC7">
                  <w:pPr>
                    <w:framePr w:hSpace="180" w:wrap="around" w:vAnchor="text" w:hAnchor="text" w:y="1"/>
                    <w:suppressOverlap/>
                    <w:rPr>
                      <w:rFonts w:eastAsia="DengXian"/>
                    </w:rPr>
                  </w:pPr>
                  <w:r w:rsidRPr="2FDF968A">
                    <w:rPr>
                      <w:rFonts w:eastAsia="DengXian"/>
                    </w:rPr>
                    <w:t xml:space="preserve">Period </w:t>
                  </w:r>
                </w:p>
              </w:tc>
              <w:tc>
                <w:tcPr>
                  <w:tcW w:w="1036" w:type="pct"/>
                </w:tcPr>
                <w:p w14:paraId="61C4AFF7" w14:textId="77777777" w:rsidR="008079D2" w:rsidRPr="002D1E1B" w:rsidRDefault="2FDF968A" w:rsidP="00903EC7">
                  <w:pPr>
                    <w:framePr w:hSpace="180" w:wrap="around" w:vAnchor="text" w:hAnchor="text" w:y="1"/>
                    <w:suppressOverlap/>
                    <w:jc w:val="both"/>
                    <w:outlineLvl w:val="0"/>
                  </w:pPr>
                  <w:r>
                    <w:t>Actual</w:t>
                  </w:r>
                </w:p>
              </w:tc>
            </w:tr>
            <w:tr w:rsidR="008079D2" w:rsidRPr="002D1E1B" w14:paraId="2037260C" w14:textId="77777777" w:rsidTr="2FDF968A">
              <w:tc>
                <w:tcPr>
                  <w:tcW w:w="443" w:type="pct"/>
                </w:tcPr>
                <w:p w14:paraId="6E7D2DE3" w14:textId="77777777" w:rsidR="008079D2" w:rsidRPr="002D1E1B" w:rsidRDefault="2FDF968A" w:rsidP="00903EC7">
                  <w:pPr>
                    <w:framePr w:hSpace="180" w:wrap="around" w:vAnchor="text" w:hAnchor="text" w:y="1"/>
                    <w:suppressOverlap/>
                    <w:jc w:val="both"/>
                    <w:outlineLvl w:val="0"/>
                  </w:pPr>
                  <w:r>
                    <w:t>4</w:t>
                  </w:r>
                </w:p>
              </w:tc>
              <w:tc>
                <w:tcPr>
                  <w:tcW w:w="3521" w:type="pct"/>
                </w:tcPr>
                <w:p w14:paraId="535651E7" w14:textId="77777777" w:rsidR="008079D2" w:rsidRPr="002D1E1B" w:rsidRDefault="2FDF968A" w:rsidP="00903EC7">
                  <w:pPr>
                    <w:framePr w:hSpace="180" w:wrap="around" w:vAnchor="text" w:hAnchor="text" w:y="1"/>
                    <w:suppressOverlap/>
                    <w:rPr>
                      <w:rFonts w:eastAsia="DengXian"/>
                    </w:rPr>
                  </w:pPr>
                  <w:r w:rsidRPr="2FDF968A">
                    <w:rPr>
                      <w:rFonts w:eastAsia="DengXian"/>
                    </w:rPr>
                    <w:t>Year of Assessment</w:t>
                  </w:r>
                </w:p>
              </w:tc>
              <w:tc>
                <w:tcPr>
                  <w:tcW w:w="1036" w:type="pct"/>
                </w:tcPr>
                <w:p w14:paraId="3190EF40" w14:textId="77777777" w:rsidR="008079D2" w:rsidRPr="002D1E1B" w:rsidRDefault="2FDF968A" w:rsidP="00903EC7">
                  <w:pPr>
                    <w:framePr w:hSpace="180" w:wrap="around" w:vAnchor="text" w:hAnchor="text" w:y="1"/>
                    <w:suppressOverlap/>
                    <w:jc w:val="both"/>
                    <w:outlineLvl w:val="0"/>
                  </w:pPr>
                  <w:r>
                    <w:t xml:space="preserve">Actual </w:t>
                  </w:r>
                </w:p>
              </w:tc>
            </w:tr>
            <w:tr w:rsidR="008079D2" w:rsidRPr="002D1E1B" w14:paraId="7E46CB94" w14:textId="77777777" w:rsidTr="2FDF968A">
              <w:tc>
                <w:tcPr>
                  <w:tcW w:w="443" w:type="pct"/>
                </w:tcPr>
                <w:p w14:paraId="7EBB4BE2" w14:textId="77777777" w:rsidR="008079D2" w:rsidRPr="002D1E1B" w:rsidRDefault="2FDF968A" w:rsidP="00903EC7">
                  <w:pPr>
                    <w:framePr w:hSpace="180" w:wrap="around" w:vAnchor="text" w:hAnchor="text" w:y="1"/>
                    <w:suppressOverlap/>
                    <w:jc w:val="both"/>
                    <w:outlineLvl w:val="0"/>
                  </w:pPr>
                  <w:r>
                    <w:t>5</w:t>
                  </w:r>
                </w:p>
              </w:tc>
              <w:tc>
                <w:tcPr>
                  <w:tcW w:w="3521" w:type="pct"/>
                </w:tcPr>
                <w:p w14:paraId="725B1FC6" w14:textId="77777777" w:rsidR="008079D2" w:rsidRPr="002D1E1B" w:rsidRDefault="2FDF968A" w:rsidP="00903EC7">
                  <w:pPr>
                    <w:framePr w:hSpace="180" w:wrap="around" w:vAnchor="text" w:hAnchor="text" w:y="1"/>
                    <w:suppressOverlap/>
                    <w:jc w:val="both"/>
                    <w:outlineLvl w:val="0"/>
                  </w:pPr>
                  <w:r w:rsidRPr="2FDF968A">
                    <w:rPr>
                      <w:rFonts w:eastAsia="DengXian"/>
                    </w:rPr>
                    <w:t>Revenue</w:t>
                  </w:r>
                </w:p>
              </w:tc>
              <w:tc>
                <w:tcPr>
                  <w:tcW w:w="1036" w:type="pct"/>
                </w:tcPr>
                <w:p w14:paraId="2CDEE6BE" w14:textId="77777777" w:rsidR="008079D2" w:rsidRPr="002D1E1B" w:rsidRDefault="2FDF968A" w:rsidP="00903EC7">
                  <w:pPr>
                    <w:framePr w:hSpace="180" w:wrap="around" w:vAnchor="text" w:hAnchor="text" w:y="1"/>
                    <w:suppressOverlap/>
                    <w:jc w:val="both"/>
                    <w:outlineLvl w:val="0"/>
                  </w:pPr>
                  <w:r w:rsidRPr="2FDF968A">
                    <w:rPr>
                      <w:rFonts w:eastAsia="DengXian"/>
                    </w:rPr>
                    <w:t>In bands</w:t>
                  </w:r>
                </w:p>
              </w:tc>
            </w:tr>
            <w:tr w:rsidR="008079D2" w:rsidRPr="002D1E1B" w14:paraId="00EB94FC" w14:textId="77777777" w:rsidTr="2FDF968A">
              <w:tc>
                <w:tcPr>
                  <w:tcW w:w="443" w:type="pct"/>
                </w:tcPr>
                <w:p w14:paraId="7CFCF4AF" w14:textId="77777777" w:rsidR="008079D2" w:rsidRPr="002D1E1B" w:rsidRDefault="2FDF968A" w:rsidP="00903EC7">
                  <w:pPr>
                    <w:framePr w:hSpace="180" w:wrap="around" w:vAnchor="text" w:hAnchor="text" w:y="1"/>
                    <w:suppressOverlap/>
                    <w:jc w:val="both"/>
                    <w:outlineLvl w:val="0"/>
                  </w:pPr>
                  <w:r>
                    <w:t>6</w:t>
                  </w:r>
                </w:p>
              </w:tc>
              <w:tc>
                <w:tcPr>
                  <w:tcW w:w="3521" w:type="pct"/>
                </w:tcPr>
                <w:p w14:paraId="0F43CA99" w14:textId="77777777" w:rsidR="008079D2" w:rsidRPr="002D1E1B" w:rsidRDefault="2FDF968A" w:rsidP="00903EC7">
                  <w:pPr>
                    <w:framePr w:hSpace="180" w:wrap="around" w:vAnchor="text" w:hAnchor="text" w:y="1"/>
                    <w:suppressOverlap/>
                    <w:rPr>
                      <w:rFonts w:eastAsia="DengXian"/>
                    </w:rPr>
                  </w:pPr>
                  <w:r w:rsidRPr="2FDF968A">
                    <w:rPr>
                      <w:rFonts w:eastAsia="DengXian"/>
                    </w:rPr>
                    <w:t>Net Profit/Loss before Tax</w:t>
                  </w:r>
                </w:p>
              </w:tc>
              <w:tc>
                <w:tcPr>
                  <w:tcW w:w="1036" w:type="pct"/>
                </w:tcPr>
                <w:p w14:paraId="36C00E26"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4F664842" w14:textId="77777777" w:rsidTr="2FDF968A">
              <w:tc>
                <w:tcPr>
                  <w:tcW w:w="443" w:type="pct"/>
                </w:tcPr>
                <w:p w14:paraId="68BF3E78" w14:textId="77777777" w:rsidR="008079D2" w:rsidRPr="002D1E1B" w:rsidRDefault="2FDF968A" w:rsidP="00903EC7">
                  <w:pPr>
                    <w:framePr w:hSpace="180" w:wrap="around" w:vAnchor="text" w:hAnchor="text" w:y="1"/>
                    <w:suppressOverlap/>
                    <w:jc w:val="both"/>
                    <w:outlineLvl w:val="0"/>
                  </w:pPr>
                  <w:r>
                    <w:t>7</w:t>
                  </w:r>
                </w:p>
              </w:tc>
              <w:tc>
                <w:tcPr>
                  <w:tcW w:w="3521" w:type="pct"/>
                </w:tcPr>
                <w:p w14:paraId="0BCC60E8" w14:textId="77777777" w:rsidR="008079D2" w:rsidRPr="002D1E1B" w:rsidRDefault="2FDF968A" w:rsidP="00903EC7">
                  <w:pPr>
                    <w:framePr w:hSpace="180" w:wrap="around" w:vAnchor="text" w:hAnchor="text" w:y="1"/>
                    <w:suppressOverlap/>
                    <w:jc w:val="both"/>
                    <w:outlineLvl w:val="0"/>
                  </w:pPr>
                  <w:r>
                    <w:t xml:space="preserve">No business done </w:t>
                  </w:r>
                </w:p>
              </w:tc>
              <w:tc>
                <w:tcPr>
                  <w:tcW w:w="1036" w:type="pct"/>
                </w:tcPr>
                <w:p w14:paraId="3AAE6505"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2FC5EE0C" w14:textId="77777777" w:rsidTr="2FDF968A">
              <w:tc>
                <w:tcPr>
                  <w:tcW w:w="443" w:type="pct"/>
                </w:tcPr>
                <w:p w14:paraId="21EEE4D8" w14:textId="77777777" w:rsidR="008079D2" w:rsidRPr="002D1E1B" w:rsidRDefault="2FDF968A" w:rsidP="00903EC7">
                  <w:pPr>
                    <w:framePr w:hSpace="180" w:wrap="around" w:vAnchor="text" w:hAnchor="text" w:y="1"/>
                    <w:suppressOverlap/>
                    <w:jc w:val="both"/>
                    <w:outlineLvl w:val="0"/>
                  </w:pPr>
                  <w:r>
                    <w:t>8</w:t>
                  </w:r>
                </w:p>
              </w:tc>
              <w:tc>
                <w:tcPr>
                  <w:tcW w:w="3521" w:type="pct"/>
                </w:tcPr>
                <w:p w14:paraId="64CDF647" w14:textId="77777777" w:rsidR="008079D2" w:rsidRPr="002D1E1B" w:rsidRDefault="2FDF968A" w:rsidP="00903EC7">
                  <w:pPr>
                    <w:framePr w:hSpace="180" w:wrap="around" w:vAnchor="text" w:hAnchor="text" w:y="1"/>
                    <w:suppressOverlap/>
                    <w:jc w:val="both"/>
                    <w:outlineLvl w:val="0"/>
                  </w:pPr>
                  <w:r>
                    <w:t xml:space="preserve">Tax deduction claimed - Cost on protecting Intellectual Property (“IP”) deductions under section 14A </w:t>
                  </w:r>
                </w:p>
              </w:tc>
              <w:tc>
                <w:tcPr>
                  <w:tcW w:w="1036" w:type="pct"/>
                </w:tcPr>
                <w:p w14:paraId="4C6DEA64"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6D28BE8C" w14:textId="77777777" w:rsidTr="2FDF968A">
              <w:tc>
                <w:tcPr>
                  <w:tcW w:w="443" w:type="pct"/>
                </w:tcPr>
                <w:p w14:paraId="574A1587" w14:textId="77777777" w:rsidR="008079D2" w:rsidRPr="002D1E1B" w:rsidRDefault="2FDF968A" w:rsidP="00903EC7">
                  <w:pPr>
                    <w:framePr w:hSpace="180" w:wrap="around" w:vAnchor="text" w:hAnchor="text" w:y="1"/>
                    <w:suppressOverlap/>
                    <w:jc w:val="both"/>
                    <w:outlineLvl w:val="0"/>
                  </w:pPr>
                  <w:r>
                    <w:t>9</w:t>
                  </w:r>
                </w:p>
              </w:tc>
              <w:tc>
                <w:tcPr>
                  <w:tcW w:w="3521" w:type="pct"/>
                </w:tcPr>
                <w:p w14:paraId="5028CDB5" w14:textId="77777777" w:rsidR="008079D2" w:rsidRPr="002D1E1B" w:rsidRDefault="2FDF968A" w:rsidP="00903EC7">
                  <w:pPr>
                    <w:framePr w:hSpace="180" w:wrap="around" w:vAnchor="text" w:hAnchor="text" w:y="1"/>
                    <w:suppressOverlap/>
                    <w:jc w:val="both"/>
                    <w:outlineLvl w:val="0"/>
                  </w:pPr>
                  <w:r>
                    <w:t xml:space="preserve">Tax deduction claimed - Participation in approved local trade fairs under section 14B </w:t>
                  </w:r>
                </w:p>
              </w:tc>
              <w:tc>
                <w:tcPr>
                  <w:tcW w:w="1036" w:type="pct"/>
                </w:tcPr>
                <w:p w14:paraId="486887A6"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6A51F036" w14:textId="77777777" w:rsidTr="2FDF968A">
              <w:tc>
                <w:tcPr>
                  <w:tcW w:w="443" w:type="pct"/>
                </w:tcPr>
                <w:p w14:paraId="4F22F97E" w14:textId="77777777" w:rsidR="008079D2" w:rsidRPr="002D1E1B" w:rsidRDefault="2FDF968A" w:rsidP="00903EC7">
                  <w:pPr>
                    <w:framePr w:hSpace="180" w:wrap="around" w:vAnchor="text" w:hAnchor="text" w:y="1"/>
                    <w:suppressOverlap/>
                    <w:jc w:val="both"/>
                    <w:outlineLvl w:val="0"/>
                  </w:pPr>
                  <w:r>
                    <w:t>10</w:t>
                  </w:r>
                </w:p>
              </w:tc>
              <w:tc>
                <w:tcPr>
                  <w:tcW w:w="3521" w:type="pct"/>
                </w:tcPr>
                <w:p w14:paraId="0BCA41B3" w14:textId="77777777" w:rsidR="008079D2" w:rsidRPr="002D1E1B" w:rsidRDefault="2FDF968A" w:rsidP="00903EC7">
                  <w:pPr>
                    <w:framePr w:hSpace="180" w:wrap="around" w:vAnchor="text" w:hAnchor="text" w:y="1"/>
                    <w:suppressOverlap/>
                    <w:jc w:val="both"/>
                    <w:outlineLvl w:val="0"/>
                  </w:pPr>
                  <w:r>
                    <w:t xml:space="preserve">Tax deduction claimed - Participation in overseas trade fairs, overseas business development and investment study trips/ missions under section 14B/14H </w:t>
                  </w:r>
                </w:p>
              </w:tc>
              <w:tc>
                <w:tcPr>
                  <w:tcW w:w="1036" w:type="pct"/>
                </w:tcPr>
                <w:p w14:paraId="69472B38"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161D7ACC" w14:textId="77777777" w:rsidTr="2FDF968A">
              <w:tc>
                <w:tcPr>
                  <w:tcW w:w="443" w:type="pct"/>
                </w:tcPr>
                <w:p w14:paraId="647944E5" w14:textId="77777777" w:rsidR="008079D2" w:rsidRPr="002D1E1B" w:rsidRDefault="2FDF968A" w:rsidP="00903EC7">
                  <w:pPr>
                    <w:framePr w:hSpace="180" w:wrap="around" w:vAnchor="text" w:hAnchor="text" w:y="1"/>
                    <w:suppressOverlap/>
                    <w:jc w:val="both"/>
                    <w:outlineLvl w:val="0"/>
                  </w:pPr>
                  <w:r>
                    <w:t>11</w:t>
                  </w:r>
                </w:p>
              </w:tc>
              <w:tc>
                <w:tcPr>
                  <w:tcW w:w="3521" w:type="pct"/>
                </w:tcPr>
                <w:p w14:paraId="1B54FA02" w14:textId="77777777" w:rsidR="008079D2" w:rsidRPr="002D1E1B" w:rsidRDefault="2FDF968A" w:rsidP="00903EC7">
                  <w:pPr>
                    <w:framePr w:hSpace="180" w:wrap="around" w:vAnchor="text" w:hAnchor="text" w:y="1"/>
                    <w:suppressOverlap/>
                    <w:jc w:val="both"/>
                    <w:outlineLvl w:val="0"/>
                  </w:pPr>
                  <w:r>
                    <w:t>Tax deduction claimed - Expenditure incurred on research and development (“R&amp;D”) activities undertaken in Singapore under section 14C</w:t>
                  </w:r>
                </w:p>
              </w:tc>
              <w:tc>
                <w:tcPr>
                  <w:tcW w:w="1036" w:type="pct"/>
                </w:tcPr>
                <w:p w14:paraId="2607D906"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20A987A2" w14:textId="77777777" w:rsidTr="2FDF968A">
              <w:tc>
                <w:tcPr>
                  <w:tcW w:w="443" w:type="pct"/>
                </w:tcPr>
                <w:p w14:paraId="03FC9FC2" w14:textId="77777777" w:rsidR="008079D2" w:rsidRPr="002D1E1B" w:rsidRDefault="2FDF968A" w:rsidP="00903EC7">
                  <w:pPr>
                    <w:framePr w:hSpace="180" w:wrap="around" w:vAnchor="text" w:hAnchor="text" w:y="1"/>
                    <w:suppressOverlap/>
                    <w:jc w:val="both"/>
                    <w:outlineLvl w:val="0"/>
                  </w:pPr>
                  <w:r>
                    <w:t>12</w:t>
                  </w:r>
                </w:p>
              </w:tc>
              <w:tc>
                <w:tcPr>
                  <w:tcW w:w="3521" w:type="pct"/>
                </w:tcPr>
                <w:p w14:paraId="0D897912" w14:textId="77777777" w:rsidR="008079D2" w:rsidRPr="002D1E1B" w:rsidRDefault="2FDF968A" w:rsidP="00903EC7">
                  <w:pPr>
                    <w:framePr w:hSpace="180" w:wrap="around" w:vAnchor="text" w:hAnchor="text" w:y="1"/>
                    <w:suppressOverlap/>
                    <w:jc w:val="both"/>
                    <w:outlineLvl w:val="0"/>
                  </w:pPr>
                  <w:r>
                    <w:t>Tax deduction claimed - Staff costs and consumables for R&amp;D activities undertaken in Singapore qualifying for section 14</w:t>
                  </w:r>
                  <w:proofErr w:type="gramStart"/>
                  <w:r>
                    <w:t>D(</w:t>
                  </w:r>
                  <w:proofErr w:type="gramEnd"/>
                  <w:r>
                    <w:t>1)</w:t>
                  </w:r>
                </w:p>
              </w:tc>
              <w:tc>
                <w:tcPr>
                  <w:tcW w:w="1036" w:type="pct"/>
                </w:tcPr>
                <w:p w14:paraId="6DF665BA"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6A68D79B" w14:textId="77777777" w:rsidTr="2FDF968A">
              <w:tc>
                <w:tcPr>
                  <w:tcW w:w="443" w:type="pct"/>
                </w:tcPr>
                <w:p w14:paraId="22C51D75" w14:textId="77777777" w:rsidR="008079D2" w:rsidRPr="002D1E1B" w:rsidRDefault="2FDF968A" w:rsidP="00903EC7">
                  <w:pPr>
                    <w:framePr w:hSpace="180" w:wrap="around" w:vAnchor="text" w:hAnchor="text" w:y="1"/>
                    <w:suppressOverlap/>
                    <w:jc w:val="both"/>
                    <w:outlineLvl w:val="0"/>
                  </w:pPr>
                  <w:r>
                    <w:lastRenderedPageBreak/>
                    <w:t>13</w:t>
                  </w:r>
                </w:p>
              </w:tc>
              <w:tc>
                <w:tcPr>
                  <w:tcW w:w="3521" w:type="pct"/>
                </w:tcPr>
                <w:p w14:paraId="7F07CF8A" w14:textId="77777777" w:rsidR="008079D2" w:rsidRPr="002D1E1B" w:rsidRDefault="2FDF968A" w:rsidP="00903EC7">
                  <w:pPr>
                    <w:framePr w:hSpace="180" w:wrap="around" w:vAnchor="text" w:hAnchor="text" w:y="1"/>
                    <w:suppressOverlap/>
                    <w:jc w:val="both"/>
                    <w:outlineLvl w:val="0"/>
                  </w:pPr>
                  <w:r>
                    <w:t>Tax deduction claimed - Expenditure on R&amp;D project under section 14E</w:t>
                  </w:r>
                </w:p>
              </w:tc>
              <w:tc>
                <w:tcPr>
                  <w:tcW w:w="1036" w:type="pct"/>
                </w:tcPr>
                <w:p w14:paraId="69B1F09E"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0F16E1E8" w14:textId="77777777" w:rsidTr="2FDF968A">
              <w:tc>
                <w:tcPr>
                  <w:tcW w:w="443" w:type="pct"/>
                </w:tcPr>
                <w:p w14:paraId="532438F6" w14:textId="77777777" w:rsidR="008079D2" w:rsidRPr="002D1E1B" w:rsidRDefault="2FDF968A" w:rsidP="00903EC7">
                  <w:pPr>
                    <w:framePr w:hSpace="180" w:wrap="around" w:vAnchor="text" w:hAnchor="text" w:y="1"/>
                    <w:suppressOverlap/>
                    <w:jc w:val="both"/>
                    <w:outlineLvl w:val="0"/>
                  </w:pPr>
                  <w:r>
                    <w:t>14</w:t>
                  </w:r>
                </w:p>
              </w:tc>
              <w:tc>
                <w:tcPr>
                  <w:tcW w:w="3521" w:type="pct"/>
                </w:tcPr>
                <w:p w14:paraId="2FAA2589" w14:textId="77777777" w:rsidR="008079D2" w:rsidRPr="002D1E1B" w:rsidRDefault="2FDF968A" w:rsidP="00903EC7">
                  <w:pPr>
                    <w:framePr w:hSpace="180" w:wrap="around" w:vAnchor="text" w:hAnchor="text" w:y="1"/>
                    <w:suppressOverlap/>
                    <w:jc w:val="both"/>
                    <w:outlineLvl w:val="0"/>
                  </w:pPr>
                  <w:r>
                    <w:t xml:space="preserve">Tax deduction claimed - Cost on IP In-Licensing under section 14U </w:t>
                  </w:r>
                </w:p>
              </w:tc>
              <w:tc>
                <w:tcPr>
                  <w:tcW w:w="1036" w:type="pct"/>
                </w:tcPr>
                <w:p w14:paraId="2D6ECF63"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687D2251" w14:textId="77777777" w:rsidTr="2FDF968A">
              <w:tc>
                <w:tcPr>
                  <w:tcW w:w="443" w:type="pct"/>
                </w:tcPr>
                <w:p w14:paraId="7BE54C0E" w14:textId="77777777" w:rsidR="008079D2" w:rsidRPr="002D1E1B" w:rsidRDefault="2FDF968A" w:rsidP="00903EC7">
                  <w:pPr>
                    <w:framePr w:hSpace="180" w:wrap="around" w:vAnchor="text" w:hAnchor="text" w:y="1"/>
                    <w:suppressOverlap/>
                    <w:jc w:val="both"/>
                    <w:outlineLvl w:val="0"/>
                  </w:pPr>
                  <w:r>
                    <w:t>15</w:t>
                  </w:r>
                </w:p>
              </w:tc>
              <w:tc>
                <w:tcPr>
                  <w:tcW w:w="3521" w:type="pct"/>
                </w:tcPr>
                <w:p w14:paraId="26A3BFEE" w14:textId="77777777" w:rsidR="008079D2" w:rsidRPr="002D1E1B" w:rsidRDefault="2FDF968A" w:rsidP="00903EC7">
                  <w:pPr>
                    <w:framePr w:hSpace="180" w:wrap="around" w:vAnchor="text" w:hAnchor="text" w:y="1"/>
                    <w:suppressOverlap/>
                    <w:jc w:val="both"/>
                    <w:outlineLvl w:val="0"/>
                  </w:pPr>
                  <w:r>
                    <w:t>Foreign Income Received in Singapore (before Exempt Amount) - Excluding income exempted under the Foreign-Sourced Income Exemption Scheme</w:t>
                  </w:r>
                </w:p>
              </w:tc>
              <w:tc>
                <w:tcPr>
                  <w:tcW w:w="1036" w:type="pct"/>
                </w:tcPr>
                <w:p w14:paraId="7306D743" w14:textId="77777777" w:rsidR="008079D2" w:rsidRPr="002D1E1B" w:rsidRDefault="2FDF968A" w:rsidP="00903EC7">
                  <w:pPr>
                    <w:framePr w:hSpace="180" w:wrap="around" w:vAnchor="text" w:hAnchor="text" w:y="1"/>
                    <w:suppressOverlap/>
                    <w:jc w:val="both"/>
                    <w:outlineLvl w:val="0"/>
                  </w:pPr>
                  <w:r>
                    <w:t>Yes/No</w:t>
                  </w:r>
                </w:p>
              </w:tc>
            </w:tr>
            <w:tr w:rsidR="008079D2" w:rsidRPr="002D1E1B" w14:paraId="78AFDCB5" w14:textId="77777777" w:rsidTr="2FDF968A">
              <w:trPr>
                <w:trHeight w:val="31"/>
              </w:trPr>
              <w:tc>
                <w:tcPr>
                  <w:tcW w:w="5000" w:type="pct"/>
                  <w:gridSpan w:val="3"/>
                  <w:shd w:val="clear" w:color="auto" w:fill="EEECE1" w:themeFill="background2"/>
                </w:tcPr>
                <w:p w14:paraId="239A7CBB" w14:textId="1AA420C1" w:rsidR="008079D2" w:rsidRPr="002D1E1B" w:rsidRDefault="2FDF968A" w:rsidP="00903EC7">
                  <w:pPr>
                    <w:framePr w:hSpace="180" w:wrap="around" w:vAnchor="text" w:hAnchor="text" w:y="1"/>
                    <w:suppressOverlap/>
                    <w:jc w:val="both"/>
                    <w:outlineLvl w:val="0"/>
                    <w:rPr>
                      <w:b/>
                      <w:bCs/>
                    </w:rPr>
                  </w:pPr>
                  <w:r w:rsidRPr="2FDF968A">
                    <w:rPr>
                      <w:b/>
                      <w:bCs/>
                    </w:rPr>
                    <w:t xml:space="preserve">List of identifiable company GST data items </w:t>
                  </w:r>
                </w:p>
              </w:tc>
            </w:tr>
            <w:tr w:rsidR="008079D2" w:rsidRPr="002D1E1B" w14:paraId="158DC612" w14:textId="77777777" w:rsidTr="2FDF968A">
              <w:tc>
                <w:tcPr>
                  <w:tcW w:w="443" w:type="pct"/>
                </w:tcPr>
                <w:p w14:paraId="0DB31699" w14:textId="77777777" w:rsidR="008079D2" w:rsidRPr="002D1E1B" w:rsidRDefault="2FDF968A" w:rsidP="00903EC7">
                  <w:pPr>
                    <w:framePr w:hSpace="180" w:wrap="around" w:vAnchor="text" w:hAnchor="text" w:y="1"/>
                    <w:suppressOverlap/>
                    <w:jc w:val="both"/>
                    <w:outlineLvl w:val="0"/>
                    <w:rPr>
                      <w:b/>
                      <w:bCs/>
                    </w:rPr>
                  </w:pPr>
                  <w:r w:rsidRPr="2FDF968A">
                    <w:rPr>
                      <w:b/>
                      <w:bCs/>
                    </w:rPr>
                    <w:t>No</w:t>
                  </w:r>
                </w:p>
              </w:tc>
              <w:tc>
                <w:tcPr>
                  <w:tcW w:w="3521" w:type="pct"/>
                </w:tcPr>
                <w:p w14:paraId="2A76B563" w14:textId="77777777" w:rsidR="008079D2" w:rsidRPr="002D1E1B" w:rsidRDefault="2FDF968A" w:rsidP="00903EC7">
                  <w:pPr>
                    <w:framePr w:hSpace="180" w:wrap="around" w:vAnchor="text" w:hAnchor="text" w:y="1"/>
                    <w:suppressOverlap/>
                    <w:jc w:val="both"/>
                    <w:outlineLvl w:val="0"/>
                    <w:rPr>
                      <w:b/>
                      <w:bCs/>
                    </w:rPr>
                  </w:pPr>
                  <w:r w:rsidRPr="2FDF968A">
                    <w:rPr>
                      <w:b/>
                      <w:bCs/>
                    </w:rPr>
                    <w:t>Data Item</w:t>
                  </w:r>
                </w:p>
              </w:tc>
              <w:tc>
                <w:tcPr>
                  <w:tcW w:w="1036" w:type="pct"/>
                </w:tcPr>
                <w:p w14:paraId="27196D95" w14:textId="77777777" w:rsidR="008079D2" w:rsidRPr="002D1E1B" w:rsidRDefault="2FDF968A" w:rsidP="00903EC7">
                  <w:pPr>
                    <w:framePr w:hSpace="180" w:wrap="around" w:vAnchor="text" w:hAnchor="text" w:y="1"/>
                    <w:suppressOverlap/>
                    <w:jc w:val="both"/>
                    <w:outlineLvl w:val="0"/>
                    <w:rPr>
                      <w:b/>
                      <w:bCs/>
                    </w:rPr>
                  </w:pPr>
                  <w:r w:rsidRPr="2FDF968A">
                    <w:rPr>
                      <w:b/>
                      <w:bCs/>
                    </w:rPr>
                    <w:t>Form in which data is shared</w:t>
                  </w:r>
                </w:p>
              </w:tc>
            </w:tr>
            <w:tr w:rsidR="008079D2" w:rsidRPr="002D1E1B" w14:paraId="0F9A4E9D" w14:textId="77777777" w:rsidTr="2FDF968A">
              <w:tc>
                <w:tcPr>
                  <w:tcW w:w="443" w:type="pct"/>
                </w:tcPr>
                <w:p w14:paraId="7AF46B50" w14:textId="77777777" w:rsidR="008079D2" w:rsidRPr="002D1E1B" w:rsidRDefault="2FDF968A" w:rsidP="00903EC7">
                  <w:pPr>
                    <w:framePr w:hSpace="180" w:wrap="around" w:vAnchor="text" w:hAnchor="text" w:y="1"/>
                    <w:suppressOverlap/>
                    <w:jc w:val="both"/>
                    <w:outlineLvl w:val="0"/>
                  </w:pPr>
                  <w:r>
                    <w:t>1</w:t>
                  </w:r>
                </w:p>
              </w:tc>
              <w:tc>
                <w:tcPr>
                  <w:tcW w:w="3521" w:type="pct"/>
                </w:tcPr>
                <w:p w14:paraId="0DC5E6E8" w14:textId="77777777" w:rsidR="008079D2" w:rsidRPr="002D1E1B" w:rsidRDefault="2FDF968A" w:rsidP="00903EC7">
                  <w:pPr>
                    <w:framePr w:hSpace="180" w:wrap="around" w:vAnchor="text" w:hAnchor="text" w:y="1"/>
                    <w:suppressOverlap/>
                    <w:jc w:val="both"/>
                    <w:outlineLvl w:val="0"/>
                  </w:pPr>
                  <w:r w:rsidRPr="2FDF968A">
                    <w:rPr>
                      <w:rFonts w:eastAsia="DengXian"/>
                    </w:rPr>
                    <w:t>Company Name</w:t>
                  </w:r>
                </w:p>
              </w:tc>
              <w:tc>
                <w:tcPr>
                  <w:tcW w:w="1036" w:type="pct"/>
                </w:tcPr>
                <w:p w14:paraId="7C381C15" w14:textId="77777777" w:rsidR="008079D2" w:rsidRPr="002D1E1B" w:rsidRDefault="2FDF968A" w:rsidP="00903EC7">
                  <w:pPr>
                    <w:framePr w:hSpace="180" w:wrap="around" w:vAnchor="text" w:hAnchor="text" w:y="1"/>
                    <w:suppressOverlap/>
                    <w:jc w:val="both"/>
                    <w:outlineLvl w:val="0"/>
                  </w:pPr>
                  <w:r>
                    <w:t>Actual</w:t>
                  </w:r>
                </w:p>
              </w:tc>
            </w:tr>
            <w:tr w:rsidR="008079D2" w:rsidRPr="002D1E1B" w14:paraId="7459A3B9" w14:textId="77777777" w:rsidTr="2FDF968A">
              <w:tc>
                <w:tcPr>
                  <w:tcW w:w="443" w:type="pct"/>
                </w:tcPr>
                <w:p w14:paraId="2DC68F9D" w14:textId="77777777" w:rsidR="008079D2" w:rsidRPr="002D1E1B" w:rsidRDefault="2FDF968A" w:rsidP="00903EC7">
                  <w:pPr>
                    <w:framePr w:hSpace="180" w:wrap="around" w:vAnchor="text" w:hAnchor="text" w:y="1"/>
                    <w:suppressOverlap/>
                    <w:jc w:val="both"/>
                    <w:outlineLvl w:val="0"/>
                  </w:pPr>
                  <w:r>
                    <w:t>2</w:t>
                  </w:r>
                </w:p>
              </w:tc>
              <w:tc>
                <w:tcPr>
                  <w:tcW w:w="3521" w:type="pct"/>
                </w:tcPr>
                <w:p w14:paraId="358044D1" w14:textId="77777777" w:rsidR="008079D2" w:rsidRPr="002D1E1B" w:rsidRDefault="2FDF968A" w:rsidP="00903EC7">
                  <w:pPr>
                    <w:framePr w:hSpace="180" w:wrap="around" w:vAnchor="text" w:hAnchor="text" w:y="1"/>
                    <w:suppressOverlap/>
                    <w:rPr>
                      <w:rFonts w:eastAsia="DengXian"/>
                    </w:rPr>
                  </w:pPr>
                  <w:r w:rsidRPr="2FDF968A">
                    <w:rPr>
                      <w:rFonts w:eastAsia="DengXian"/>
                    </w:rPr>
                    <w:t>UEN</w:t>
                  </w:r>
                </w:p>
              </w:tc>
              <w:tc>
                <w:tcPr>
                  <w:tcW w:w="1036" w:type="pct"/>
                </w:tcPr>
                <w:p w14:paraId="14DCC40B" w14:textId="77777777" w:rsidR="008079D2" w:rsidRPr="002D1E1B" w:rsidRDefault="2FDF968A" w:rsidP="00903EC7">
                  <w:pPr>
                    <w:framePr w:hSpace="180" w:wrap="around" w:vAnchor="text" w:hAnchor="text" w:y="1"/>
                    <w:suppressOverlap/>
                    <w:jc w:val="both"/>
                    <w:outlineLvl w:val="0"/>
                  </w:pPr>
                  <w:r>
                    <w:t>Actual</w:t>
                  </w:r>
                </w:p>
              </w:tc>
            </w:tr>
            <w:tr w:rsidR="008079D2" w:rsidRPr="002D1E1B" w14:paraId="07DCC3F8" w14:textId="77777777" w:rsidTr="2FDF968A">
              <w:tc>
                <w:tcPr>
                  <w:tcW w:w="443" w:type="pct"/>
                </w:tcPr>
                <w:p w14:paraId="2DEAE638" w14:textId="77777777" w:rsidR="008079D2" w:rsidRPr="002D1E1B" w:rsidRDefault="2FDF968A" w:rsidP="00903EC7">
                  <w:pPr>
                    <w:framePr w:hSpace="180" w:wrap="around" w:vAnchor="text" w:hAnchor="text" w:y="1"/>
                    <w:suppressOverlap/>
                    <w:jc w:val="both"/>
                    <w:outlineLvl w:val="0"/>
                  </w:pPr>
                  <w:r>
                    <w:t>3</w:t>
                  </w:r>
                </w:p>
              </w:tc>
              <w:tc>
                <w:tcPr>
                  <w:tcW w:w="3521" w:type="pct"/>
                </w:tcPr>
                <w:p w14:paraId="278ECF7B" w14:textId="77777777" w:rsidR="008079D2" w:rsidRPr="002D1E1B" w:rsidRDefault="2FDF968A" w:rsidP="00903EC7">
                  <w:pPr>
                    <w:framePr w:hSpace="180" w:wrap="around" w:vAnchor="text" w:hAnchor="text" w:y="1"/>
                    <w:suppressOverlap/>
                    <w:rPr>
                      <w:rFonts w:eastAsia="DengXian"/>
                    </w:rPr>
                  </w:pPr>
                  <w:r w:rsidRPr="2FDF968A">
                    <w:rPr>
                      <w:rFonts w:eastAsia="DengXian"/>
                    </w:rPr>
                    <w:t>Prescribed accounting period</w:t>
                  </w:r>
                </w:p>
              </w:tc>
              <w:tc>
                <w:tcPr>
                  <w:tcW w:w="1036" w:type="pct"/>
                </w:tcPr>
                <w:p w14:paraId="2CBA730F" w14:textId="77777777" w:rsidR="008079D2" w:rsidRPr="002D1E1B" w:rsidRDefault="2FDF968A" w:rsidP="00903EC7">
                  <w:pPr>
                    <w:framePr w:hSpace="180" w:wrap="around" w:vAnchor="text" w:hAnchor="text" w:y="1"/>
                    <w:suppressOverlap/>
                    <w:jc w:val="both"/>
                    <w:outlineLvl w:val="0"/>
                  </w:pPr>
                  <w:r>
                    <w:t>Actual</w:t>
                  </w:r>
                </w:p>
              </w:tc>
            </w:tr>
            <w:tr w:rsidR="008079D2" w:rsidRPr="002D1E1B" w14:paraId="3EA72FA2" w14:textId="77777777" w:rsidTr="2FDF968A">
              <w:tc>
                <w:tcPr>
                  <w:tcW w:w="443" w:type="pct"/>
                </w:tcPr>
                <w:p w14:paraId="3B56B971" w14:textId="77777777" w:rsidR="008079D2" w:rsidRPr="002D1E1B" w:rsidRDefault="2FDF968A" w:rsidP="00903EC7">
                  <w:pPr>
                    <w:framePr w:hSpace="180" w:wrap="around" w:vAnchor="text" w:hAnchor="text" w:y="1"/>
                    <w:suppressOverlap/>
                    <w:jc w:val="both"/>
                    <w:outlineLvl w:val="0"/>
                  </w:pPr>
                  <w:r>
                    <w:t>4</w:t>
                  </w:r>
                </w:p>
              </w:tc>
              <w:tc>
                <w:tcPr>
                  <w:tcW w:w="3521" w:type="pct"/>
                </w:tcPr>
                <w:p w14:paraId="0914EE4F" w14:textId="77777777" w:rsidR="008079D2" w:rsidRPr="002D1E1B" w:rsidRDefault="2FDF968A" w:rsidP="00903EC7">
                  <w:pPr>
                    <w:framePr w:hSpace="180" w:wrap="around" w:vAnchor="text" w:hAnchor="text" w:y="1"/>
                    <w:suppressOverlap/>
                    <w:jc w:val="both"/>
                    <w:outlineLvl w:val="0"/>
                  </w:pPr>
                  <w:r w:rsidRPr="2FDF968A">
                    <w:rPr>
                      <w:rFonts w:eastAsia="DengXian"/>
                    </w:rPr>
                    <w:t xml:space="preserve">Revenue </w:t>
                  </w:r>
                </w:p>
              </w:tc>
              <w:tc>
                <w:tcPr>
                  <w:tcW w:w="1036" w:type="pct"/>
                </w:tcPr>
                <w:p w14:paraId="03070067" w14:textId="77777777" w:rsidR="008079D2" w:rsidRPr="002D1E1B" w:rsidRDefault="2FDF968A" w:rsidP="00903EC7">
                  <w:pPr>
                    <w:framePr w:hSpace="180" w:wrap="around" w:vAnchor="text" w:hAnchor="text" w:y="1"/>
                    <w:suppressOverlap/>
                    <w:jc w:val="both"/>
                    <w:outlineLvl w:val="0"/>
                  </w:pPr>
                  <w:r w:rsidRPr="2FDF968A">
                    <w:rPr>
                      <w:rFonts w:eastAsia="DengXian"/>
                    </w:rPr>
                    <w:t>In bands</w:t>
                  </w:r>
                </w:p>
              </w:tc>
            </w:tr>
            <w:tr w:rsidR="008079D2" w:rsidRPr="002D1E1B" w14:paraId="7231EFD1" w14:textId="77777777" w:rsidTr="2FDF968A">
              <w:tc>
                <w:tcPr>
                  <w:tcW w:w="443" w:type="pct"/>
                </w:tcPr>
                <w:p w14:paraId="2EDB26E2" w14:textId="77777777" w:rsidR="008079D2" w:rsidRPr="002D1E1B" w:rsidRDefault="2FDF968A" w:rsidP="00903EC7">
                  <w:pPr>
                    <w:framePr w:hSpace="180" w:wrap="around" w:vAnchor="text" w:hAnchor="text" w:y="1"/>
                    <w:suppressOverlap/>
                    <w:jc w:val="both"/>
                    <w:outlineLvl w:val="0"/>
                  </w:pPr>
                  <w:r>
                    <w:t>5</w:t>
                  </w:r>
                </w:p>
              </w:tc>
              <w:tc>
                <w:tcPr>
                  <w:tcW w:w="3521" w:type="pct"/>
                </w:tcPr>
                <w:p w14:paraId="286F6C18" w14:textId="77777777" w:rsidR="008079D2" w:rsidRPr="002D1E1B" w:rsidRDefault="2FDF968A" w:rsidP="00903EC7">
                  <w:pPr>
                    <w:framePr w:hSpace="180" w:wrap="around" w:vAnchor="text" w:hAnchor="text" w:y="1"/>
                    <w:suppressOverlap/>
                    <w:rPr>
                      <w:rFonts w:eastAsia="DengXian"/>
                    </w:rPr>
                  </w:pPr>
                  <w:r w:rsidRPr="2FDF968A">
                    <w:rPr>
                      <w:rFonts w:eastAsia="DengXian"/>
                    </w:rPr>
                    <w:t xml:space="preserve">Total value of supplies </w:t>
                  </w:r>
                </w:p>
              </w:tc>
              <w:tc>
                <w:tcPr>
                  <w:tcW w:w="1036" w:type="pct"/>
                </w:tcPr>
                <w:p w14:paraId="55928CD7" w14:textId="77777777" w:rsidR="008079D2" w:rsidRPr="002D1E1B" w:rsidRDefault="2FDF968A" w:rsidP="00903EC7">
                  <w:pPr>
                    <w:framePr w:hSpace="180" w:wrap="around" w:vAnchor="text" w:hAnchor="text" w:y="1"/>
                    <w:suppressOverlap/>
                    <w:jc w:val="both"/>
                    <w:outlineLvl w:val="0"/>
                  </w:pPr>
                  <w:r w:rsidRPr="2FDF968A">
                    <w:rPr>
                      <w:rFonts w:eastAsia="DengXian"/>
                    </w:rPr>
                    <w:t>In bands</w:t>
                  </w:r>
                </w:p>
              </w:tc>
            </w:tr>
            <w:tr w:rsidR="008079D2" w:rsidRPr="002D1E1B" w14:paraId="6D0F6CD8" w14:textId="77777777" w:rsidTr="2FDF968A">
              <w:tc>
                <w:tcPr>
                  <w:tcW w:w="443" w:type="pct"/>
                </w:tcPr>
                <w:p w14:paraId="00CA0B5B" w14:textId="77777777" w:rsidR="008079D2" w:rsidRPr="002D1E1B" w:rsidRDefault="2FDF968A" w:rsidP="00903EC7">
                  <w:pPr>
                    <w:framePr w:hSpace="180" w:wrap="around" w:vAnchor="text" w:hAnchor="text" w:y="1"/>
                    <w:suppressOverlap/>
                    <w:jc w:val="both"/>
                    <w:outlineLvl w:val="0"/>
                  </w:pPr>
                  <w:r>
                    <w:t>6</w:t>
                  </w:r>
                </w:p>
              </w:tc>
              <w:tc>
                <w:tcPr>
                  <w:tcW w:w="3521" w:type="pct"/>
                </w:tcPr>
                <w:p w14:paraId="62226139" w14:textId="77777777" w:rsidR="008079D2" w:rsidRPr="002D1E1B" w:rsidRDefault="2FDF968A" w:rsidP="00903EC7">
                  <w:pPr>
                    <w:framePr w:hSpace="180" w:wrap="around" w:vAnchor="text" w:hAnchor="text" w:y="1"/>
                    <w:suppressOverlap/>
                    <w:jc w:val="both"/>
                    <w:outlineLvl w:val="0"/>
                  </w:pPr>
                  <w:r w:rsidRPr="2FDF968A">
                    <w:rPr>
                      <w:rFonts w:eastAsia="DengXian"/>
                    </w:rPr>
                    <w:t xml:space="preserve">Total value of zero-rated supplies </w:t>
                  </w:r>
                </w:p>
              </w:tc>
              <w:tc>
                <w:tcPr>
                  <w:tcW w:w="1036" w:type="pct"/>
                </w:tcPr>
                <w:p w14:paraId="5BF8A644" w14:textId="77777777" w:rsidR="008079D2" w:rsidRPr="002D1E1B" w:rsidRDefault="2FDF968A" w:rsidP="00903EC7">
                  <w:pPr>
                    <w:framePr w:hSpace="180" w:wrap="around" w:vAnchor="text" w:hAnchor="text" w:y="1"/>
                    <w:suppressOverlap/>
                    <w:jc w:val="both"/>
                    <w:outlineLvl w:val="0"/>
                  </w:pPr>
                  <w:r w:rsidRPr="2FDF968A">
                    <w:rPr>
                      <w:rFonts w:eastAsia="DengXian"/>
                    </w:rPr>
                    <w:t>In bands</w:t>
                  </w:r>
                </w:p>
              </w:tc>
            </w:tr>
          </w:tbl>
          <w:p w14:paraId="03CF9B20" w14:textId="77777777" w:rsidR="008079D2" w:rsidRDefault="008079D2" w:rsidP="0057761F">
            <w:pPr>
              <w:pStyle w:val="Default"/>
              <w:jc w:val="both"/>
              <w:rPr>
                <w:color w:val="auto"/>
                <w:lang w:val="en-SG"/>
              </w:rPr>
            </w:pPr>
          </w:p>
          <w:p w14:paraId="4BC95197" w14:textId="59923B6B" w:rsidR="008079D2" w:rsidRPr="000974A2" w:rsidRDefault="2FDF968A" w:rsidP="0057761F">
            <w:pPr>
              <w:jc w:val="both"/>
            </w:pPr>
            <w:r w:rsidRPr="2FDF968A">
              <w:rPr>
                <w:lang w:val="en-SG"/>
              </w:rPr>
              <w:t>The proposed amendments, if approved, will take effect from the date the Amendment Act is published in the Gazette.</w:t>
            </w:r>
          </w:p>
        </w:tc>
        <w:tc>
          <w:tcPr>
            <w:tcW w:w="2082" w:type="dxa"/>
          </w:tcPr>
          <w:p w14:paraId="7124DB3E" w14:textId="66F1FD6D" w:rsidR="00E06380" w:rsidRDefault="2FDF968A" w:rsidP="0057761F">
            <w:pPr>
              <w:pStyle w:val="Default"/>
              <w:jc w:val="both"/>
            </w:pPr>
            <w:r>
              <w:lastRenderedPageBreak/>
              <w:t>Section</w:t>
            </w:r>
            <w:r w:rsidR="00E06380">
              <w:t>s</w:t>
            </w:r>
            <w:r>
              <w:t xml:space="preserve"> 6</w:t>
            </w:r>
            <w:r w:rsidR="00E06380">
              <w:t xml:space="preserve"> and 106 and Eleventh Schedule</w:t>
            </w:r>
          </w:p>
          <w:p w14:paraId="6C943D26" w14:textId="77777777" w:rsidR="00E06380" w:rsidRDefault="00E06380" w:rsidP="0057761F">
            <w:pPr>
              <w:pStyle w:val="Default"/>
              <w:jc w:val="both"/>
            </w:pPr>
          </w:p>
          <w:p w14:paraId="4E93D783" w14:textId="2CF50122" w:rsidR="008079D2" w:rsidRDefault="00E06380" w:rsidP="0057761F">
            <w:pPr>
              <w:pStyle w:val="Default"/>
              <w:jc w:val="both"/>
            </w:pPr>
            <w:r>
              <w:lastRenderedPageBreak/>
              <w:t xml:space="preserve">Related amendments to the GSTA </w:t>
            </w:r>
          </w:p>
          <w:p w14:paraId="18BFAAAA" w14:textId="77777777" w:rsidR="008079D2" w:rsidRDefault="008079D2" w:rsidP="0057761F">
            <w:pPr>
              <w:pStyle w:val="Default"/>
              <w:jc w:val="both"/>
            </w:pPr>
          </w:p>
          <w:p w14:paraId="054BFEA0" w14:textId="15E848C7" w:rsidR="008079D2" w:rsidRPr="000974A2" w:rsidRDefault="2FDF968A" w:rsidP="0057761F">
            <w:pPr>
              <w:pStyle w:val="Default"/>
              <w:jc w:val="both"/>
            </w:pPr>
            <w:r>
              <w:t>[Clause</w:t>
            </w:r>
            <w:r w:rsidR="00E06380">
              <w:t>s</w:t>
            </w:r>
            <w:r>
              <w:t xml:space="preserve"> </w:t>
            </w:r>
            <w:r w:rsidR="519B5A91">
              <w:t>3</w:t>
            </w:r>
            <w:r w:rsidR="00E06380">
              <w:t>, 41, 43</w:t>
            </w:r>
            <w:r w:rsidR="00EA2BCC">
              <w:t>, 46</w:t>
            </w:r>
            <w:r w:rsidR="00E06380">
              <w:t xml:space="preserve"> and </w:t>
            </w:r>
            <w:r w:rsidR="00EA2BCC">
              <w:t>49</w:t>
            </w:r>
            <w:r>
              <w:t>]</w:t>
            </w:r>
          </w:p>
        </w:tc>
      </w:tr>
      <w:tr w:rsidR="008079D2" w:rsidRPr="000974A2" w14:paraId="34E4F656" w14:textId="77777777" w:rsidTr="2FDF968A">
        <w:tc>
          <w:tcPr>
            <w:tcW w:w="846" w:type="dxa"/>
          </w:tcPr>
          <w:p w14:paraId="3074742D" w14:textId="77777777" w:rsidR="008079D2" w:rsidRPr="000974A2" w:rsidRDefault="008079D2" w:rsidP="0057761F">
            <w:pPr>
              <w:widowControl w:val="0"/>
              <w:numPr>
                <w:ilvl w:val="0"/>
                <w:numId w:val="2"/>
              </w:numPr>
              <w:jc w:val="both"/>
              <w:rPr>
                <w:rFonts w:eastAsia="PMingLiU"/>
                <w:b/>
              </w:rPr>
            </w:pPr>
          </w:p>
        </w:tc>
        <w:tc>
          <w:tcPr>
            <w:tcW w:w="3260" w:type="dxa"/>
          </w:tcPr>
          <w:p w14:paraId="7E99B01F" w14:textId="659C337C" w:rsidR="008079D2" w:rsidRPr="000974A2" w:rsidRDefault="2FDF968A" w:rsidP="0057761F">
            <w:pPr>
              <w:pStyle w:val="Default"/>
              <w:jc w:val="both"/>
            </w:pPr>
            <w:r w:rsidRPr="2FDF968A">
              <w:rPr>
                <w:color w:val="auto"/>
              </w:rPr>
              <w:t>Enhance the progressivity of personal income tax (“PIT”) of tax-resident   individual taxpayers</w:t>
            </w:r>
            <w:r w:rsidR="0061075E">
              <w:rPr>
                <w:color w:val="auto"/>
              </w:rPr>
              <w:t>,</w:t>
            </w:r>
            <w:r w:rsidRPr="2FDF968A">
              <w:rPr>
                <w:color w:val="auto"/>
              </w:rPr>
              <w:t xml:space="preserve"> and align the tax rates of non-tax-resident individual taxpayers to the </w:t>
            </w:r>
            <w:r w:rsidRPr="2FDF968A">
              <w:rPr>
                <w:color w:val="auto"/>
              </w:rPr>
              <w:lastRenderedPageBreak/>
              <w:t>revised top marginal PIT rate for tax-resident individuals</w:t>
            </w:r>
          </w:p>
        </w:tc>
        <w:tc>
          <w:tcPr>
            <w:tcW w:w="6869" w:type="dxa"/>
          </w:tcPr>
          <w:p w14:paraId="6015BEEA" w14:textId="77777777" w:rsidR="008079D2" w:rsidRPr="002D1E1B" w:rsidRDefault="2FDF968A" w:rsidP="2FDF968A">
            <w:pPr>
              <w:pStyle w:val="Default"/>
              <w:jc w:val="both"/>
              <w:rPr>
                <w:color w:val="auto"/>
              </w:rPr>
            </w:pPr>
            <w:r w:rsidRPr="2FDF968A">
              <w:rPr>
                <w:color w:val="auto"/>
              </w:rPr>
              <w:lastRenderedPageBreak/>
              <w:t>The top marginal PIT rate of tax-resident individual taxpayers is currently 22%.</w:t>
            </w:r>
          </w:p>
          <w:p w14:paraId="3D4A10C4" w14:textId="77777777" w:rsidR="008079D2" w:rsidRPr="002D1E1B" w:rsidRDefault="008079D2" w:rsidP="0057761F">
            <w:pPr>
              <w:pStyle w:val="Default"/>
              <w:jc w:val="both"/>
              <w:rPr>
                <w:color w:val="auto"/>
              </w:rPr>
            </w:pPr>
          </w:p>
          <w:p w14:paraId="5D720F69" w14:textId="6B19EBF3" w:rsidR="008079D2" w:rsidRDefault="2FDF968A" w:rsidP="2FDF968A">
            <w:pPr>
              <w:pStyle w:val="Default"/>
              <w:jc w:val="both"/>
              <w:rPr>
                <w:color w:val="auto"/>
              </w:rPr>
            </w:pPr>
            <w:r w:rsidRPr="2FDF968A">
              <w:rPr>
                <w:color w:val="auto"/>
              </w:rPr>
              <w:t xml:space="preserve">The top marginal PIT rate of tax-resident individuals will be increased from the YA 2024. The portion of chargeable income </w:t>
            </w:r>
            <w:proofErr w:type="gramStart"/>
            <w:r w:rsidRPr="2FDF968A">
              <w:rPr>
                <w:color w:val="auto"/>
              </w:rPr>
              <w:t>in excess of</w:t>
            </w:r>
            <w:proofErr w:type="gramEnd"/>
            <w:r w:rsidRPr="2FDF968A">
              <w:rPr>
                <w:color w:val="auto"/>
              </w:rPr>
              <w:t xml:space="preserve"> $500,000 up to $1 million will be taxed at 23%, while that in excess of $1 million will be taxed at 24%; both up from 22% today. </w:t>
            </w:r>
          </w:p>
          <w:p w14:paraId="7BC611AC" w14:textId="77777777" w:rsidR="008079D2" w:rsidRDefault="008079D2" w:rsidP="0057761F">
            <w:pPr>
              <w:pStyle w:val="Default"/>
              <w:jc w:val="both"/>
              <w:rPr>
                <w:color w:val="auto"/>
              </w:rPr>
            </w:pPr>
          </w:p>
          <w:p w14:paraId="78A0EE37" w14:textId="6E4A4A5B" w:rsidR="008079D2" w:rsidRDefault="2FDF968A" w:rsidP="2FDF968A">
            <w:pPr>
              <w:pStyle w:val="Default"/>
              <w:jc w:val="both"/>
              <w:rPr>
                <w:color w:val="auto"/>
              </w:rPr>
            </w:pPr>
            <w:r w:rsidRPr="2FDF968A">
              <w:rPr>
                <w:color w:val="auto"/>
              </w:rPr>
              <w:t xml:space="preserve">The PIT rates for certain income derived by non-tax-residents will also be revised to 24%, to continue to be aligned with the top marginal tax rate of tax-residents. </w:t>
            </w:r>
          </w:p>
          <w:p w14:paraId="50DFA233" w14:textId="77777777" w:rsidR="008079D2" w:rsidRPr="002D1E1B" w:rsidRDefault="008079D2" w:rsidP="0057761F">
            <w:pPr>
              <w:pStyle w:val="Default"/>
              <w:jc w:val="both"/>
              <w:rPr>
                <w:color w:val="auto"/>
              </w:rPr>
            </w:pPr>
          </w:p>
          <w:p w14:paraId="28DAD951" w14:textId="30D9EC07" w:rsidR="008079D2" w:rsidRPr="000974A2" w:rsidRDefault="2FDF968A" w:rsidP="0057761F">
            <w:pPr>
              <w:pStyle w:val="Default"/>
              <w:jc w:val="both"/>
            </w:pPr>
            <w:r w:rsidRPr="2FDF968A">
              <w:rPr>
                <w:color w:val="auto"/>
              </w:rPr>
              <w:t>The proposed amendments will take effect from the YA 2024. For income due to non-tax-resident individuals that is subject to withholding tax (“WHT”), the change in WHT rates will take effect for payments made from 1 January 2023.</w:t>
            </w:r>
          </w:p>
        </w:tc>
        <w:tc>
          <w:tcPr>
            <w:tcW w:w="2082" w:type="dxa"/>
          </w:tcPr>
          <w:p w14:paraId="66A68DB8" w14:textId="07550697" w:rsidR="008079D2" w:rsidRDefault="2FDF968A" w:rsidP="0057761F">
            <w:pPr>
              <w:pStyle w:val="Default"/>
              <w:jc w:val="both"/>
            </w:pPr>
            <w:r>
              <w:lastRenderedPageBreak/>
              <w:t>Section</w:t>
            </w:r>
            <w:r w:rsidR="00742B02">
              <w:t>s</w:t>
            </w:r>
            <w:r>
              <w:t xml:space="preserve"> </w:t>
            </w:r>
            <w:r w:rsidRPr="2FDF968A">
              <w:rPr>
                <w:lang w:val="en-US"/>
              </w:rPr>
              <w:t>43</w:t>
            </w:r>
            <w:r w:rsidR="000A0958">
              <w:rPr>
                <w:lang w:val="en-US"/>
              </w:rPr>
              <w:t>, 45, 45B, 45E</w:t>
            </w:r>
            <w:r w:rsidR="0088182F">
              <w:rPr>
                <w:lang w:val="en-US"/>
              </w:rPr>
              <w:t xml:space="preserve"> and</w:t>
            </w:r>
            <w:r w:rsidR="000A0958">
              <w:rPr>
                <w:lang w:val="en-US"/>
              </w:rPr>
              <w:t xml:space="preserve"> 45EA</w:t>
            </w:r>
            <w:r w:rsidR="00B34C6A">
              <w:rPr>
                <w:lang w:val="en-US"/>
              </w:rPr>
              <w:t xml:space="preserve"> </w:t>
            </w:r>
            <w:proofErr w:type="gramStart"/>
            <w:r w:rsidR="00B34C6A">
              <w:rPr>
                <w:lang w:val="en-US"/>
              </w:rPr>
              <w:t xml:space="preserve">and </w:t>
            </w:r>
            <w:r w:rsidR="00B34C6A" w:rsidRPr="00307B46">
              <w:t xml:space="preserve"> Second</w:t>
            </w:r>
            <w:proofErr w:type="gramEnd"/>
            <w:r w:rsidR="00B34C6A" w:rsidRPr="00307B46">
              <w:t xml:space="preserve"> Schedule</w:t>
            </w:r>
          </w:p>
          <w:p w14:paraId="1E97B27F" w14:textId="77777777" w:rsidR="008079D2" w:rsidRDefault="008079D2" w:rsidP="0057761F">
            <w:pPr>
              <w:pStyle w:val="Default"/>
              <w:jc w:val="both"/>
            </w:pPr>
          </w:p>
          <w:p w14:paraId="6ECFCC7E" w14:textId="75E77137" w:rsidR="008079D2" w:rsidRPr="000974A2" w:rsidRDefault="2FDF968A" w:rsidP="0057761F">
            <w:pPr>
              <w:pStyle w:val="Default"/>
              <w:jc w:val="both"/>
            </w:pPr>
            <w:r>
              <w:t xml:space="preserve">[Clause </w:t>
            </w:r>
            <w:r w:rsidR="519B5A91">
              <w:t>22</w:t>
            </w:r>
            <w:r w:rsidR="00314283">
              <w:t>, 42 and 44</w:t>
            </w:r>
            <w:r>
              <w:t>]</w:t>
            </w:r>
          </w:p>
        </w:tc>
      </w:tr>
      <w:tr w:rsidR="008079D2" w:rsidRPr="000974A2" w14:paraId="5B3B56E2" w14:textId="77777777" w:rsidTr="2FDF968A">
        <w:tc>
          <w:tcPr>
            <w:tcW w:w="846" w:type="dxa"/>
          </w:tcPr>
          <w:p w14:paraId="4ECAFEC2" w14:textId="77777777" w:rsidR="008079D2" w:rsidRPr="000974A2" w:rsidRDefault="008079D2" w:rsidP="0057761F">
            <w:pPr>
              <w:widowControl w:val="0"/>
              <w:numPr>
                <w:ilvl w:val="0"/>
                <w:numId w:val="2"/>
              </w:numPr>
              <w:jc w:val="both"/>
              <w:rPr>
                <w:rFonts w:eastAsia="PMingLiU"/>
                <w:b/>
              </w:rPr>
            </w:pPr>
          </w:p>
        </w:tc>
        <w:tc>
          <w:tcPr>
            <w:tcW w:w="3260" w:type="dxa"/>
          </w:tcPr>
          <w:p w14:paraId="5C9C372F" w14:textId="3CC8B1BF" w:rsidR="008079D2" w:rsidRPr="000974A2" w:rsidRDefault="2FDF968A" w:rsidP="0057761F">
            <w:pPr>
              <w:pStyle w:val="Default"/>
              <w:jc w:val="both"/>
            </w:pPr>
            <w:r w:rsidRPr="2FDF968A">
              <w:rPr>
                <w:color w:val="auto"/>
              </w:rPr>
              <w:t>Extend the WHT exemption for non-tax-resident mediators</w:t>
            </w:r>
          </w:p>
        </w:tc>
        <w:tc>
          <w:tcPr>
            <w:tcW w:w="6869" w:type="dxa"/>
          </w:tcPr>
          <w:p w14:paraId="127F4637" w14:textId="3C43F312" w:rsidR="008079D2" w:rsidRPr="002D1E1B" w:rsidRDefault="2FDF968A" w:rsidP="2FDF968A">
            <w:pPr>
              <w:pStyle w:val="Default"/>
              <w:jc w:val="both"/>
              <w:rPr>
                <w:color w:val="auto"/>
              </w:rPr>
            </w:pPr>
            <w:r w:rsidRPr="2FDF968A">
              <w:rPr>
                <w:color w:val="auto"/>
              </w:rPr>
              <w:t>Non-tax-resident professionals are subject to WHT at a rate of 15% on gross income from the profession; or they may elect to be taxed at 22% on net income. As a concession, income derived by non-tax-resident mediators from mediation work carried out in Singapore is exempt from tax, subject to conditions. This exemption was scheduled to lapse after 31 March 2022.</w:t>
            </w:r>
          </w:p>
          <w:p w14:paraId="37B55890" w14:textId="77777777" w:rsidR="008079D2" w:rsidRPr="002D1E1B" w:rsidRDefault="008079D2" w:rsidP="0057761F">
            <w:pPr>
              <w:pStyle w:val="Default"/>
              <w:jc w:val="both"/>
              <w:rPr>
                <w:color w:val="auto"/>
              </w:rPr>
            </w:pPr>
          </w:p>
          <w:p w14:paraId="43136913" w14:textId="11A200B0" w:rsidR="008079D2" w:rsidRPr="002D1E1B" w:rsidRDefault="2FDF968A" w:rsidP="2FDF968A">
            <w:pPr>
              <w:pStyle w:val="Default"/>
              <w:jc w:val="both"/>
              <w:rPr>
                <w:rFonts w:eastAsia="Times New Roman"/>
                <w:color w:val="auto"/>
                <w:lang w:eastAsia="en-US"/>
              </w:rPr>
            </w:pPr>
            <w:r w:rsidRPr="2FDF968A">
              <w:rPr>
                <w:rFonts w:eastAsia="Times New Roman"/>
                <w:color w:val="auto"/>
                <w:lang w:eastAsia="en-US"/>
              </w:rPr>
              <w:t xml:space="preserve">The existing WHT exemption for income from mediation work, introduced in 2015, has supported Singapore’s development as an international mediation hub. To build on the momentum, the Government will continue to support the international mediation sector through a holistic suite of policies and initiatives. </w:t>
            </w:r>
          </w:p>
          <w:p w14:paraId="5AB2D2CB" w14:textId="77777777" w:rsidR="008079D2" w:rsidRPr="002D1E1B" w:rsidRDefault="008079D2" w:rsidP="0057761F">
            <w:pPr>
              <w:pStyle w:val="Default"/>
              <w:jc w:val="both"/>
              <w:rPr>
                <w:rFonts w:eastAsia="Times New Roman"/>
                <w:color w:val="auto"/>
                <w:lang w:eastAsia="en-US"/>
              </w:rPr>
            </w:pPr>
          </w:p>
          <w:p w14:paraId="194DAE3C" w14:textId="5479090A" w:rsidR="008079D2" w:rsidRPr="002D1E1B" w:rsidRDefault="2FDF968A" w:rsidP="2FDF968A">
            <w:pPr>
              <w:pStyle w:val="Default"/>
              <w:jc w:val="both"/>
              <w:rPr>
                <w:rFonts w:eastAsia="Times New Roman"/>
                <w:color w:val="auto"/>
                <w:lang w:eastAsia="en-US"/>
              </w:rPr>
            </w:pPr>
            <w:r w:rsidRPr="2FDF968A">
              <w:rPr>
                <w:rFonts w:eastAsia="Times New Roman"/>
                <w:color w:val="auto"/>
                <w:lang w:eastAsia="en-US"/>
              </w:rPr>
              <w:t>The WHT exemption will be extended by one year, till 31 March 2023. Thereafter, from 1 April 2023, gross income derived by non-tax-resident mediators from mediation work carried out in Singapore will be subject to a concessionary WHT rate of 10%, subject to conditions. This concessionary WHT rate will apply to payments made to non-tax-resident mediators till 31 December 2027. Non-tax-resident meditators may alternatively elect to be taxed at 24% on net income, from the YA 2024 onwards.</w:t>
            </w:r>
          </w:p>
          <w:p w14:paraId="09026A47" w14:textId="130F3136" w:rsidR="008079D2" w:rsidRPr="004166FC" w:rsidRDefault="008079D2" w:rsidP="0057761F">
            <w:pPr>
              <w:pStyle w:val="wordsection1"/>
              <w:jc w:val="both"/>
              <w:rPr>
                <w:rFonts w:eastAsia="Times New Roman"/>
                <w:lang w:eastAsia="en-US"/>
              </w:rPr>
            </w:pPr>
          </w:p>
        </w:tc>
        <w:tc>
          <w:tcPr>
            <w:tcW w:w="2082" w:type="dxa"/>
          </w:tcPr>
          <w:p w14:paraId="01D19195" w14:textId="0FF2BC85" w:rsidR="008079D2" w:rsidRDefault="2FDF968A" w:rsidP="2FDF968A">
            <w:pPr>
              <w:pStyle w:val="wordsection1"/>
              <w:jc w:val="both"/>
              <w:rPr>
                <w:lang w:val="en-US"/>
              </w:rPr>
            </w:pPr>
            <w:r w:rsidRPr="2FDF968A">
              <w:rPr>
                <w:lang w:val="en-US"/>
              </w:rPr>
              <w:t>Sections 13, 43</w:t>
            </w:r>
            <w:r w:rsidR="001B041D">
              <w:rPr>
                <w:lang w:val="en-US"/>
              </w:rPr>
              <w:t xml:space="preserve"> and</w:t>
            </w:r>
            <w:r w:rsidRPr="2FDF968A">
              <w:rPr>
                <w:lang w:val="en-US"/>
              </w:rPr>
              <w:t xml:space="preserve"> 45F</w:t>
            </w:r>
          </w:p>
          <w:p w14:paraId="5FCAC2B1" w14:textId="77777777" w:rsidR="008079D2" w:rsidRDefault="008079D2" w:rsidP="0057761F">
            <w:pPr>
              <w:pStyle w:val="wordsection1"/>
              <w:jc w:val="both"/>
              <w:rPr>
                <w:lang w:val="en-US"/>
              </w:rPr>
            </w:pPr>
          </w:p>
          <w:p w14:paraId="3CB3DD3E" w14:textId="0851E3A0" w:rsidR="008079D2" w:rsidRPr="000974A2" w:rsidRDefault="519B5A91" w:rsidP="2FDF968A">
            <w:pPr>
              <w:pStyle w:val="wordsection1"/>
              <w:jc w:val="both"/>
              <w:rPr>
                <w:lang w:val="en-US"/>
              </w:rPr>
            </w:pPr>
            <w:r w:rsidRPr="519B5A91">
              <w:rPr>
                <w:lang w:val="en-US"/>
              </w:rPr>
              <w:t>[Clauses 7, 22 and 27]</w:t>
            </w:r>
          </w:p>
        </w:tc>
      </w:tr>
      <w:tr w:rsidR="008079D2" w:rsidRPr="000974A2" w14:paraId="49B1341A" w14:textId="77777777" w:rsidTr="2FDF968A">
        <w:tc>
          <w:tcPr>
            <w:tcW w:w="846" w:type="dxa"/>
          </w:tcPr>
          <w:p w14:paraId="0E810142" w14:textId="77777777" w:rsidR="008079D2" w:rsidRPr="000974A2" w:rsidRDefault="008079D2" w:rsidP="0057761F">
            <w:pPr>
              <w:widowControl w:val="0"/>
              <w:numPr>
                <w:ilvl w:val="0"/>
                <w:numId w:val="2"/>
              </w:numPr>
              <w:jc w:val="both"/>
              <w:rPr>
                <w:rFonts w:eastAsia="PMingLiU"/>
                <w:b/>
              </w:rPr>
            </w:pPr>
          </w:p>
        </w:tc>
        <w:tc>
          <w:tcPr>
            <w:tcW w:w="3260" w:type="dxa"/>
          </w:tcPr>
          <w:p w14:paraId="0619FCB3" w14:textId="4105719E" w:rsidR="008079D2" w:rsidRPr="000974A2" w:rsidRDefault="2FDF968A" w:rsidP="0057761F">
            <w:pPr>
              <w:pStyle w:val="Default"/>
              <w:jc w:val="both"/>
            </w:pPr>
            <w:r w:rsidRPr="2FDF968A">
              <w:rPr>
                <w:color w:val="auto"/>
              </w:rPr>
              <w:t>Extend the WHT exemption for non-tax-resident arbitrators</w:t>
            </w:r>
          </w:p>
        </w:tc>
        <w:tc>
          <w:tcPr>
            <w:tcW w:w="6869" w:type="dxa"/>
          </w:tcPr>
          <w:p w14:paraId="6E24ED11" w14:textId="59541488" w:rsidR="008079D2" w:rsidRPr="002D1E1B" w:rsidRDefault="2FDF968A" w:rsidP="2FDF968A">
            <w:pPr>
              <w:pStyle w:val="Default"/>
              <w:jc w:val="both"/>
              <w:rPr>
                <w:color w:val="auto"/>
              </w:rPr>
            </w:pPr>
            <w:r w:rsidRPr="2FDF968A">
              <w:rPr>
                <w:color w:val="auto"/>
              </w:rPr>
              <w:t>Non-tax-resident professionals are subject to WHT at a rate of 15% on gross income from the profession; or they may elect to be taxed at 22% on net income. As a concession, income derived by non-tax-resident arbitrators from arbitration work carried out in Singapore is exempt from tax, subject to conditions. This exemption was scheduled to lapse after 31 March 2022.</w:t>
            </w:r>
          </w:p>
          <w:p w14:paraId="19A78443" w14:textId="77777777" w:rsidR="008079D2" w:rsidRPr="002D1E1B" w:rsidRDefault="008079D2" w:rsidP="0057761F">
            <w:pPr>
              <w:pStyle w:val="Default"/>
              <w:jc w:val="both"/>
              <w:rPr>
                <w:color w:val="auto"/>
              </w:rPr>
            </w:pPr>
          </w:p>
          <w:p w14:paraId="4A89C526" w14:textId="39802922" w:rsidR="008079D2" w:rsidRPr="002D1E1B" w:rsidRDefault="2FDF968A" w:rsidP="2FDF968A">
            <w:pPr>
              <w:pStyle w:val="Default"/>
              <w:jc w:val="both"/>
              <w:rPr>
                <w:color w:val="auto"/>
              </w:rPr>
            </w:pPr>
            <w:r w:rsidRPr="2FDF968A">
              <w:rPr>
                <w:color w:val="auto"/>
              </w:rPr>
              <w:t>The existing WHT exemption for income from arbitration work, introduced in 2002, has supported Singapore’s development as an international arbitration hub. To build on the momentum, the Government will continue to support the international arbitration sector through a holistic suite of policies and initiatives.</w:t>
            </w:r>
          </w:p>
          <w:p w14:paraId="225D0F3C" w14:textId="77777777" w:rsidR="008079D2" w:rsidRPr="002D1E1B" w:rsidRDefault="008079D2" w:rsidP="0057761F">
            <w:pPr>
              <w:pStyle w:val="Default"/>
              <w:jc w:val="both"/>
              <w:rPr>
                <w:color w:val="auto"/>
              </w:rPr>
            </w:pPr>
          </w:p>
          <w:p w14:paraId="671E2EC3" w14:textId="5AE23CA7" w:rsidR="008079D2" w:rsidRPr="002D1E1B" w:rsidRDefault="2FDF968A" w:rsidP="2FDF968A">
            <w:pPr>
              <w:pStyle w:val="Default"/>
              <w:jc w:val="both"/>
              <w:rPr>
                <w:color w:val="auto"/>
              </w:rPr>
            </w:pPr>
            <w:r w:rsidRPr="2FDF968A">
              <w:rPr>
                <w:color w:val="auto"/>
              </w:rPr>
              <w:t>The WHT exemption will be extended by one year, till 31 March 2023. Thereafter, from 1 April 2023, gross income derived by non-tax-resident arbitrators from arbitration work carried out in Singapore will be subject to a concessionary WHT rate of 10%, subject to conditions. This concessionary WHT rate will apply to payments made to non-tax-resident arbitrators till 31 December 2027. Non-tax-resident arbitrators may alternatively elect to be taxed at 24% on net income, from the YA 2024 onwards.</w:t>
            </w:r>
          </w:p>
          <w:p w14:paraId="1210182C" w14:textId="3EBDE770" w:rsidR="008079D2" w:rsidRPr="000974A2" w:rsidRDefault="008079D2" w:rsidP="0057761F">
            <w:pPr>
              <w:pStyle w:val="wordsection1"/>
              <w:jc w:val="both"/>
              <w:rPr>
                <w:lang w:val="en-US"/>
              </w:rPr>
            </w:pPr>
          </w:p>
        </w:tc>
        <w:tc>
          <w:tcPr>
            <w:tcW w:w="2082" w:type="dxa"/>
          </w:tcPr>
          <w:p w14:paraId="6F4583CC" w14:textId="4B849DAE" w:rsidR="00BE42EA" w:rsidRDefault="2FDF968A" w:rsidP="2FDF968A">
            <w:pPr>
              <w:pStyle w:val="wordsection1"/>
              <w:jc w:val="both"/>
              <w:rPr>
                <w:lang w:val="en-US"/>
              </w:rPr>
            </w:pPr>
            <w:r w:rsidRPr="2FDF968A">
              <w:rPr>
                <w:lang w:val="en-US"/>
              </w:rPr>
              <w:t>Sections 13, 43</w:t>
            </w:r>
            <w:r w:rsidR="001B041D">
              <w:rPr>
                <w:lang w:val="en-US"/>
              </w:rPr>
              <w:t xml:space="preserve"> and</w:t>
            </w:r>
            <w:r w:rsidRPr="2FDF968A">
              <w:rPr>
                <w:lang w:val="en-US"/>
              </w:rPr>
              <w:t xml:space="preserve"> 45F</w:t>
            </w:r>
          </w:p>
          <w:p w14:paraId="217A390C" w14:textId="77777777" w:rsidR="008079D2" w:rsidRDefault="008079D2" w:rsidP="0057761F">
            <w:pPr>
              <w:pStyle w:val="wordsection1"/>
              <w:jc w:val="both"/>
              <w:rPr>
                <w:lang w:val="en-US"/>
              </w:rPr>
            </w:pPr>
          </w:p>
          <w:p w14:paraId="0E7C17FE" w14:textId="68902EF1" w:rsidR="008079D2" w:rsidRDefault="519B5A91" w:rsidP="2FDF968A">
            <w:pPr>
              <w:pStyle w:val="wordsection1"/>
              <w:jc w:val="both"/>
              <w:rPr>
                <w:lang w:val="en-US"/>
              </w:rPr>
            </w:pPr>
            <w:r w:rsidRPr="519B5A91">
              <w:rPr>
                <w:lang w:val="en-US"/>
              </w:rPr>
              <w:t>[Clauses 7, 22 and 27]</w:t>
            </w:r>
          </w:p>
        </w:tc>
      </w:tr>
    </w:tbl>
    <w:p w14:paraId="21A221E2" w14:textId="5238B652" w:rsidR="00A765F2" w:rsidRPr="00A723F3" w:rsidRDefault="0057761F" w:rsidP="00DB1164">
      <w:pPr>
        <w:rPr>
          <w:b/>
        </w:rPr>
      </w:pPr>
      <w:r>
        <w:rPr>
          <w:b/>
        </w:rPr>
        <w:br w:type="textWrapping" w:clear="all"/>
      </w:r>
    </w:p>
    <w:sectPr w:rsidR="00A765F2" w:rsidRPr="00A723F3" w:rsidSect="00860C1A">
      <w:footerReference w:type="even" r:id="rId12"/>
      <w:footerReference w:type="defaul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2B20" w14:textId="77777777" w:rsidR="00201984" w:rsidRDefault="00201984">
      <w:r>
        <w:separator/>
      </w:r>
    </w:p>
  </w:endnote>
  <w:endnote w:type="continuationSeparator" w:id="0">
    <w:p w14:paraId="6C1F7B29" w14:textId="77777777" w:rsidR="00201984" w:rsidRDefault="00201984">
      <w:r>
        <w:continuationSeparator/>
      </w:r>
    </w:p>
  </w:endnote>
  <w:endnote w:type="continuationNotice" w:id="1">
    <w:p w14:paraId="2E9105B2" w14:textId="77777777" w:rsidR="00201984" w:rsidRDefault="00201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68F4" w14:textId="77777777" w:rsidR="00F13D99" w:rsidRDefault="00F13D99" w:rsidP="00BA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C0D77" w14:textId="77777777" w:rsidR="00F13D99" w:rsidRDefault="00F13D99" w:rsidP="00BA7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8056"/>
      <w:docPartObj>
        <w:docPartGallery w:val="Page Numbers (Bottom of Page)"/>
        <w:docPartUnique/>
      </w:docPartObj>
    </w:sdtPr>
    <w:sdtEndPr/>
    <w:sdtContent>
      <w:p w14:paraId="73E1A875" w14:textId="77777777" w:rsidR="00F13D99" w:rsidRDefault="00F13D9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3088BE9" w14:textId="77777777" w:rsidR="00F13D99" w:rsidRDefault="00F13D99" w:rsidP="00BA73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BE07" w14:textId="77777777" w:rsidR="00201984" w:rsidRDefault="00201984">
      <w:r>
        <w:separator/>
      </w:r>
    </w:p>
  </w:footnote>
  <w:footnote w:type="continuationSeparator" w:id="0">
    <w:p w14:paraId="672AF8B5" w14:textId="77777777" w:rsidR="00201984" w:rsidRDefault="00201984">
      <w:r>
        <w:continuationSeparator/>
      </w:r>
    </w:p>
  </w:footnote>
  <w:footnote w:type="continuationNotice" w:id="1">
    <w:p w14:paraId="2C876275" w14:textId="77777777" w:rsidR="00201984" w:rsidRDefault="00201984"/>
  </w:footnote>
  <w:footnote w:id="2">
    <w:p w14:paraId="0B5C28D5" w14:textId="5CA1FAA0" w:rsidR="008079D2" w:rsidRPr="00575BDD" w:rsidRDefault="008079D2" w:rsidP="2FDF968A">
      <w:pPr>
        <w:pStyle w:val="FootnoteText"/>
        <w:rPr>
          <w:lang w:val="en-US"/>
        </w:rPr>
      </w:pPr>
      <w:r>
        <w:rPr>
          <w:rStyle w:val="FootnoteReference"/>
        </w:rPr>
        <w:footnoteRef/>
      </w:r>
      <w:r>
        <w:t xml:space="preserve"> </w:t>
      </w:r>
      <w:r w:rsidRPr="00575BDD">
        <w:t xml:space="preserve">To </w:t>
      </w:r>
      <w:r>
        <w:t>merge</w:t>
      </w:r>
      <w:r w:rsidRPr="00575BDD">
        <w:t xml:space="preserve"> with other licensed insurers, licensed insurers may be required to transfer their insurance-related businesses through a scheme of transfer and hence, cannot transfer these businesses through a statutory voluntary amalgamation under</w:t>
      </w:r>
      <w:r w:rsidR="008C185A">
        <w:t xml:space="preserve"> the</w:t>
      </w:r>
      <w:r w:rsidRPr="00575BDD">
        <w:t xml:space="preserve"> CA. Following the scheme of transfer, the insurers will not automatically cease to exist and will have to undergo the usual process of winding up or dissolution.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773"/>
    <w:multiLevelType w:val="hybridMultilevel"/>
    <w:tmpl w:val="114A8A02"/>
    <w:lvl w:ilvl="0" w:tplc="D9BCC3C8">
      <w:start w:val="1"/>
      <w:numFmt w:val="lowerLetter"/>
      <w:lvlText w:val="%1."/>
      <w:lvlJc w:val="left"/>
      <w:pPr>
        <w:ind w:left="720" w:hanging="360"/>
      </w:pPr>
      <w:rPr>
        <w:rFonts w:hint="default"/>
        <w:b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EA93955"/>
    <w:multiLevelType w:val="hybridMultilevel"/>
    <w:tmpl w:val="1BD86F08"/>
    <w:lvl w:ilvl="0" w:tplc="D9BCC3C8">
      <w:start w:val="1"/>
      <w:numFmt w:val="lowerLetter"/>
      <w:lvlText w:val="%1."/>
      <w:lvlJc w:val="left"/>
      <w:pPr>
        <w:ind w:left="720" w:hanging="360"/>
      </w:pPr>
      <w:rPr>
        <w:rFonts w:hint="default"/>
        <w:b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BE06F0"/>
    <w:multiLevelType w:val="hybridMultilevel"/>
    <w:tmpl w:val="1038775A"/>
    <w:lvl w:ilvl="0" w:tplc="48090019">
      <w:start w:val="1"/>
      <w:numFmt w:val="lowerLetter"/>
      <w:lvlText w:val="%1."/>
      <w:lvlJc w:val="left"/>
      <w:pPr>
        <w:ind w:left="720" w:hanging="360"/>
      </w:pPr>
      <w:rPr>
        <w:rFonts w:hint="default"/>
        <w:b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66D41E8"/>
    <w:multiLevelType w:val="multilevel"/>
    <w:tmpl w:val="9A1230C8"/>
    <w:lvl w:ilvl="0">
      <w:start w:val="2"/>
      <w:numFmt w:val="decimal"/>
      <w:pStyle w:val="cTextList1"/>
      <w:lvlText w:val="%1."/>
      <w:lvlJc w:val="left"/>
      <w:pPr>
        <w:ind w:left="720" w:hanging="720"/>
      </w:pPr>
      <w:rPr>
        <w:rFonts w:ascii="Calibri" w:hAnsi="Calibri" w:cs="Calibri" w:hint="default"/>
        <w:b w:val="0"/>
        <w:strike w:val="0"/>
        <w:dstrike w:val="0"/>
        <w:sz w:val="22"/>
        <w:szCs w:val="24"/>
        <w:u w:val="none"/>
        <w:effect w:val="none"/>
      </w:rPr>
    </w:lvl>
    <w:lvl w:ilvl="1">
      <w:start w:val="1"/>
      <w:numFmt w:val="lowerLetter"/>
      <w:lvlText w:val="%2."/>
      <w:lvlJc w:val="left"/>
      <w:pPr>
        <w:ind w:left="1430" w:hanging="720"/>
      </w:pPr>
    </w:lvl>
    <w:lvl w:ilvl="2">
      <w:start w:val="1"/>
      <w:numFmt w:val="lowerRoman"/>
      <w:lvlText w:val="%3."/>
      <w:lvlJc w:val="left"/>
      <w:pPr>
        <w:ind w:left="2126" w:hanging="720"/>
      </w:pPr>
    </w:lvl>
    <w:lvl w:ilvl="3">
      <w:start w:val="1"/>
      <w:numFmt w:val="decimal"/>
      <w:lvlText w:val="%4."/>
      <w:lvlJc w:val="left"/>
      <w:pPr>
        <w:ind w:left="2829" w:hanging="720"/>
      </w:pPr>
    </w:lvl>
    <w:lvl w:ilvl="4">
      <w:start w:val="1"/>
      <w:numFmt w:val="lowerLetter"/>
      <w:lvlText w:val="%5."/>
      <w:lvlJc w:val="left"/>
      <w:pPr>
        <w:ind w:left="3532" w:hanging="720"/>
      </w:pPr>
    </w:lvl>
    <w:lvl w:ilvl="5">
      <w:start w:val="1"/>
      <w:numFmt w:val="lowerRoman"/>
      <w:lvlText w:val="%6."/>
      <w:lvlJc w:val="right"/>
      <w:pPr>
        <w:ind w:left="4235" w:hanging="720"/>
      </w:pPr>
    </w:lvl>
    <w:lvl w:ilvl="6">
      <w:start w:val="1"/>
      <w:numFmt w:val="decimal"/>
      <w:lvlText w:val="%7."/>
      <w:lvlJc w:val="left"/>
      <w:pPr>
        <w:ind w:left="4938" w:hanging="720"/>
      </w:pPr>
    </w:lvl>
    <w:lvl w:ilvl="7">
      <w:start w:val="1"/>
      <w:numFmt w:val="lowerLetter"/>
      <w:lvlText w:val="%8."/>
      <w:lvlJc w:val="left"/>
      <w:pPr>
        <w:ind w:left="5641" w:hanging="720"/>
      </w:pPr>
    </w:lvl>
    <w:lvl w:ilvl="8">
      <w:start w:val="1"/>
      <w:numFmt w:val="lowerRoman"/>
      <w:lvlText w:val="%9."/>
      <w:lvlJc w:val="right"/>
      <w:pPr>
        <w:ind w:left="6344" w:hanging="720"/>
      </w:pPr>
    </w:lvl>
  </w:abstractNum>
  <w:abstractNum w:abstractNumId="4" w15:restartNumberingAfterBreak="0">
    <w:nsid w:val="6BDA4E7C"/>
    <w:multiLevelType w:val="multilevel"/>
    <w:tmpl w:val="608E7B04"/>
    <w:lvl w:ilvl="0">
      <w:start w:val="1"/>
      <w:numFmt w:val="upperLetter"/>
      <w:lvlText w:val="%1."/>
      <w:lvlJc w:val="left"/>
      <w:pPr>
        <w:ind w:left="786" w:hanging="360"/>
      </w:pPr>
      <w:rPr>
        <w:rFonts w:ascii="Arial" w:hAnsi="Arial" w:cs="Arial" w:hint="default"/>
      </w:rPr>
    </w:lvl>
    <w:lvl w:ilvl="1">
      <w:start w:val="1"/>
      <w:numFmt w:val="decimal"/>
      <w:lvlText w:val="%1.%2."/>
      <w:lvlJc w:val="left"/>
      <w:pPr>
        <w:ind w:left="1218" w:hanging="432"/>
      </w:pPr>
      <w:rPr>
        <w:rFonts w:hint="default"/>
        <w:strike w:val="0"/>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pStyle w:val="Heading5"/>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 w15:restartNumberingAfterBreak="0">
    <w:nsid w:val="74290CA3"/>
    <w:multiLevelType w:val="hybridMultilevel"/>
    <w:tmpl w:val="D43ED43E"/>
    <w:lvl w:ilvl="0" w:tplc="D9BCC3C8">
      <w:start w:val="1"/>
      <w:numFmt w:val="lowerLetter"/>
      <w:lvlText w:val="%1."/>
      <w:lvlJc w:val="left"/>
      <w:pPr>
        <w:ind w:left="720" w:hanging="360"/>
      </w:pPr>
      <w:rPr>
        <w:rFonts w:hint="default"/>
        <w:b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6A85788"/>
    <w:multiLevelType w:val="hybridMultilevel"/>
    <w:tmpl w:val="F5E4F39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7E5F64BB"/>
    <w:multiLevelType w:val="hybridMultilevel"/>
    <w:tmpl w:val="F90CF542"/>
    <w:lvl w:ilvl="0" w:tplc="821A945E">
      <w:start w:val="1"/>
      <w:numFmt w:val="decimal"/>
      <w:lvlText w:val="%1"/>
      <w:lvlJc w:val="right"/>
      <w:pPr>
        <w:ind w:left="720" w:hanging="36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activeWritingStyle w:appName="MSWord" w:lang="en-SG"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2"/>
    <w:rsid w:val="00000048"/>
    <w:rsid w:val="00001C9D"/>
    <w:rsid w:val="00002F54"/>
    <w:rsid w:val="000031AE"/>
    <w:rsid w:val="00003B0E"/>
    <w:rsid w:val="00003DC2"/>
    <w:rsid w:val="00004FB7"/>
    <w:rsid w:val="00005562"/>
    <w:rsid w:val="00006AC7"/>
    <w:rsid w:val="00007BE7"/>
    <w:rsid w:val="00012E4E"/>
    <w:rsid w:val="0001301B"/>
    <w:rsid w:val="000143E8"/>
    <w:rsid w:val="00015179"/>
    <w:rsid w:val="00016803"/>
    <w:rsid w:val="00016AF3"/>
    <w:rsid w:val="00020258"/>
    <w:rsid w:val="000241DC"/>
    <w:rsid w:val="000258AB"/>
    <w:rsid w:val="00034FBC"/>
    <w:rsid w:val="00036CDF"/>
    <w:rsid w:val="00041C33"/>
    <w:rsid w:val="000439B7"/>
    <w:rsid w:val="00046117"/>
    <w:rsid w:val="00046FD5"/>
    <w:rsid w:val="00050439"/>
    <w:rsid w:val="000511F4"/>
    <w:rsid w:val="000519C6"/>
    <w:rsid w:val="00051E98"/>
    <w:rsid w:val="0005277F"/>
    <w:rsid w:val="00056DE9"/>
    <w:rsid w:val="00057396"/>
    <w:rsid w:val="00057D7C"/>
    <w:rsid w:val="00057DD2"/>
    <w:rsid w:val="00061429"/>
    <w:rsid w:val="0006157A"/>
    <w:rsid w:val="00063115"/>
    <w:rsid w:val="000632BC"/>
    <w:rsid w:val="000652FC"/>
    <w:rsid w:val="0006673B"/>
    <w:rsid w:val="0006698B"/>
    <w:rsid w:val="000674A5"/>
    <w:rsid w:val="0007034D"/>
    <w:rsid w:val="00070FF3"/>
    <w:rsid w:val="000722CA"/>
    <w:rsid w:val="00073010"/>
    <w:rsid w:val="00076415"/>
    <w:rsid w:val="00076DA3"/>
    <w:rsid w:val="00077454"/>
    <w:rsid w:val="0008357E"/>
    <w:rsid w:val="00084FBD"/>
    <w:rsid w:val="00085341"/>
    <w:rsid w:val="00085E19"/>
    <w:rsid w:val="00086B65"/>
    <w:rsid w:val="00086D03"/>
    <w:rsid w:val="0009063E"/>
    <w:rsid w:val="00090E7D"/>
    <w:rsid w:val="00090F6B"/>
    <w:rsid w:val="000934E4"/>
    <w:rsid w:val="00093EC2"/>
    <w:rsid w:val="00094244"/>
    <w:rsid w:val="00094DF0"/>
    <w:rsid w:val="0009745C"/>
    <w:rsid w:val="000974A2"/>
    <w:rsid w:val="000979C1"/>
    <w:rsid w:val="00097F5C"/>
    <w:rsid w:val="000A0958"/>
    <w:rsid w:val="000A0BB8"/>
    <w:rsid w:val="000A0D21"/>
    <w:rsid w:val="000A2BCE"/>
    <w:rsid w:val="000A4535"/>
    <w:rsid w:val="000A55A4"/>
    <w:rsid w:val="000A5AE9"/>
    <w:rsid w:val="000A66A9"/>
    <w:rsid w:val="000A6E70"/>
    <w:rsid w:val="000A6F5E"/>
    <w:rsid w:val="000B1D58"/>
    <w:rsid w:val="000B1D9F"/>
    <w:rsid w:val="000B1EC4"/>
    <w:rsid w:val="000B2121"/>
    <w:rsid w:val="000B253D"/>
    <w:rsid w:val="000B2FC7"/>
    <w:rsid w:val="000B361B"/>
    <w:rsid w:val="000B3C63"/>
    <w:rsid w:val="000B3D57"/>
    <w:rsid w:val="000B602B"/>
    <w:rsid w:val="000B7206"/>
    <w:rsid w:val="000B75A5"/>
    <w:rsid w:val="000B772D"/>
    <w:rsid w:val="000C07E8"/>
    <w:rsid w:val="000C2659"/>
    <w:rsid w:val="000C2BDB"/>
    <w:rsid w:val="000C42E3"/>
    <w:rsid w:val="000C6F24"/>
    <w:rsid w:val="000D0E07"/>
    <w:rsid w:val="000D4012"/>
    <w:rsid w:val="000D4DBC"/>
    <w:rsid w:val="000D5F41"/>
    <w:rsid w:val="000D7140"/>
    <w:rsid w:val="000D7623"/>
    <w:rsid w:val="000E1263"/>
    <w:rsid w:val="000E1545"/>
    <w:rsid w:val="000E23E6"/>
    <w:rsid w:val="000E3ED5"/>
    <w:rsid w:val="000E42ED"/>
    <w:rsid w:val="000E69B3"/>
    <w:rsid w:val="000E719C"/>
    <w:rsid w:val="000E72B1"/>
    <w:rsid w:val="000E78AD"/>
    <w:rsid w:val="000E7FD1"/>
    <w:rsid w:val="000F0B4D"/>
    <w:rsid w:val="000F20DA"/>
    <w:rsid w:val="000F2B99"/>
    <w:rsid w:val="000F36A1"/>
    <w:rsid w:val="000F4F99"/>
    <w:rsid w:val="000F5DC2"/>
    <w:rsid w:val="000F6967"/>
    <w:rsid w:val="000F6F83"/>
    <w:rsid w:val="00103615"/>
    <w:rsid w:val="001040D9"/>
    <w:rsid w:val="00105577"/>
    <w:rsid w:val="001061E3"/>
    <w:rsid w:val="00106587"/>
    <w:rsid w:val="00110940"/>
    <w:rsid w:val="00111DD4"/>
    <w:rsid w:val="0011497A"/>
    <w:rsid w:val="00114C4A"/>
    <w:rsid w:val="00114DAC"/>
    <w:rsid w:val="00116F37"/>
    <w:rsid w:val="00121C31"/>
    <w:rsid w:val="00121E5F"/>
    <w:rsid w:val="00123AA7"/>
    <w:rsid w:val="00123CEA"/>
    <w:rsid w:val="001240D5"/>
    <w:rsid w:val="001242E3"/>
    <w:rsid w:val="0012678F"/>
    <w:rsid w:val="00126FE9"/>
    <w:rsid w:val="00127362"/>
    <w:rsid w:val="00127855"/>
    <w:rsid w:val="001278DF"/>
    <w:rsid w:val="001279BD"/>
    <w:rsid w:val="00130426"/>
    <w:rsid w:val="00132E65"/>
    <w:rsid w:val="00134B7A"/>
    <w:rsid w:val="00135B24"/>
    <w:rsid w:val="001361EB"/>
    <w:rsid w:val="00136F7F"/>
    <w:rsid w:val="00137C40"/>
    <w:rsid w:val="0014119B"/>
    <w:rsid w:val="001429B2"/>
    <w:rsid w:val="00142BCE"/>
    <w:rsid w:val="001436A3"/>
    <w:rsid w:val="00147D29"/>
    <w:rsid w:val="001501FB"/>
    <w:rsid w:val="001504BA"/>
    <w:rsid w:val="00151B2A"/>
    <w:rsid w:val="001523B6"/>
    <w:rsid w:val="00152C67"/>
    <w:rsid w:val="00156260"/>
    <w:rsid w:val="001562A0"/>
    <w:rsid w:val="00156FB5"/>
    <w:rsid w:val="001605AD"/>
    <w:rsid w:val="00160F80"/>
    <w:rsid w:val="00161A88"/>
    <w:rsid w:val="001626F2"/>
    <w:rsid w:val="00163704"/>
    <w:rsid w:val="00163FB9"/>
    <w:rsid w:val="001658FB"/>
    <w:rsid w:val="0016771D"/>
    <w:rsid w:val="00170F88"/>
    <w:rsid w:val="001723FA"/>
    <w:rsid w:val="0017256A"/>
    <w:rsid w:val="001726AC"/>
    <w:rsid w:val="0017402F"/>
    <w:rsid w:val="001810A8"/>
    <w:rsid w:val="00183ECE"/>
    <w:rsid w:val="001847D6"/>
    <w:rsid w:val="00191BF9"/>
    <w:rsid w:val="001927DB"/>
    <w:rsid w:val="00195E3E"/>
    <w:rsid w:val="0019785A"/>
    <w:rsid w:val="001A042C"/>
    <w:rsid w:val="001A5571"/>
    <w:rsid w:val="001A5FA4"/>
    <w:rsid w:val="001A614F"/>
    <w:rsid w:val="001B041D"/>
    <w:rsid w:val="001B15AE"/>
    <w:rsid w:val="001B1DAF"/>
    <w:rsid w:val="001B4717"/>
    <w:rsid w:val="001B6C64"/>
    <w:rsid w:val="001B766E"/>
    <w:rsid w:val="001B7808"/>
    <w:rsid w:val="001C156E"/>
    <w:rsid w:val="001C2CA3"/>
    <w:rsid w:val="001C2F6A"/>
    <w:rsid w:val="001C416A"/>
    <w:rsid w:val="001C42D6"/>
    <w:rsid w:val="001C57A2"/>
    <w:rsid w:val="001C6CBE"/>
    <w:rsid w:val="001C73B5"/>
    <w:rsid w:val="001D0614"/>
    <w:rsid w:val="001D445C"/>
    <w:rsid w:val="001D4E65"/>
    <w:rsid w:val="001D5AC3"/>
    <w:rsid w:val="001D5D86"/>
    <w:rsid w:val="001D63B1"/>
    <w:rsid w:val="001D7868"/>
    <w:rsid w:val="001E06FE"/>
    <w:rsid w:val="001E0F29"/>
    <w:rsid w:val="001E6206"/>
    <w:rsid w:val="001E682D"/>
    <w:rsid w:val="001E6DF1"/>
    <w:rsid w:val="001E74A3"/>
    <w:rsid w:val="001E778F"/>
    <w:rsid w:val="001E7BB3"/>
    <w:rsid w:val="001F09F3"/>
    <w:rsid w:val="001F0FC9"/>
    <w:rsid w:val="001F24C0"/>
    <w:rsid w:val="001F2936"/>
    <w:rsid w:val="001F2E23"/>
    <w:rsid w:val="001F3C85"/>
    <w:rsid w:val="001F4020"/>
    <w:rsid w:val="001F4D64"/>
    <w:rsid w:val="001F528B"/>
    <w:rsid w:val="001F5AFA"/>
    <w:rsid w:val="001F7190"/>
    <w:rsid w:val="001F7716"/>
    <w:rsid w:val="0020013D"/>
    <w:rsid w:val="00200472"/>
    <w:rsid w:val="00201266"/>
    <w:rsid w:val="00201878"/>
    <w:rsid w:val="00201984"/>
    <w:rsid w:val="00201E08"/>
    <w:rsid w:val="00203D60"/>
    <w:rsid w:val="00204099"/>
    <w:rsid w:val="00204665"/>
    <w:rsid w:val="00204688"/>
    <w:rsid w:val="00206282"/>
    <w:rsid w:val="0020658E"/>
    <w:rsid w:val="002070CC"/>
    <w:rsid w:val="00210B9D"/>
    <w:rsid w:val="00210DCA"/>
    <w:rsid w:val="00210F5A"/>
    <w:rsid w:val="002114C1"/>
    <w:rsid w:val="00211A9F"/>
    <w:rsid w:val="002129AC"/>
    <w:rsid w:val="00212D96"/>
    <w:rsid w:val="00212E35"/>
    <w:rsid w:val="002154B1"/>
    <w:rsid w:val="00216317"/>
    <w:rsid w:val="00217706"/>
    <w:rsid w:val="0021792D"/>
    <w:rsid w:val="00220C70"/>
    <w:rsid w:val="00221C47"/>
    <w:rsid w:val="00221E02"/>
    <w:rsid w:val="00223223"/>
    <w:rsid w:val="00223912"/>
    <w:rsid w:val="002243F9"/>
    <w:rsid w:val="0022449B"/>
    <w:rsid w:val="00224B56"/>
    <w:rsid w:val="00225F94"/>
    <w:rsid w:val="0022656C"/>
    <w:rsid w:val="00230380"/>
    <w:rsid w:val="00234152"/>
    <w:rsid w:val="00234370"/>
    <w:rsid w:val="00234D4E"/>
    <w:rsid w:val="00236584"/>
    <w:rsid w:val="0023734B"/>
    <w:rsid w:val="00240BB9"/>
    <w:rsid w:val="00241F2D"/>
    <w:rsid w:val="0024278B"/>
    <w:rsid w:val="00244C36"/>
    <w:rsid w:val="0024528C"/>
    <w:rsid w:val="00245475"/>
    <w:rsid w:val="00245550"/>
    <w:rsid w:val="00247085"/>
    <w:rsid w:val="00247D87"/>
    <w:rsid w:val="0025038A"/>
    <w:rsid w:val="00250B9A"/>
    <w:rsid w:val="00251346"/>
    <w:rsid w:val="00253978"/>
    <w:rsid w:val="00253DF5"/>
    <w:rsid w:val="00255246"/>
    <w:rsid w:val="002564BE"/>
    <w:rsid w:val="0025736E"/>
    <w:rsid w:val="00262918"/>
    <w:rsid w:val="002630EC"/>
    <w:rsid w:val="00265200"/>
    <w:rsid w:val="00266954"/>
    <w:rsid w:val="0026719A"/>
    <w:rsid w:val="002673B0"/>
    <w:rsid w:val="00267A26"/>
    <w:rsid w:val="00267EB1"/>
    <w:rsid w:val="00272EBF"/>
    <w:rsid w:val="00274CDE"/>
    <w:rsid w:val="00275637"/>
    <w:rsid w:val="00277AD2"/>
    <w:rsid w:val="00277EAC"/>
    <w:rsid w:val="002827A3"/>
    <w:rsid w:val="00282EF8"/>
    <w:rsid w:val="00283248"/>
    <w:rsid w:val="00283EB4"/>
    <w:rsid w:val="002845B1"/>
    <w:rsid w:val="00286605"/>
    <w:rsid w:val="002869B7"/>
    <w:rsid w:val="0028723D"/>
    <w:rsid w:val="002907FF"/>
    <w:rsid w:val="00290B3B"/>
    <w:rsid w:val="00290F70"/>
    <w:rsid w:val="0029145B"/>
    <w:rsid w:val="00292056"/>
    <w:rsid w:val="00292B2C"/>
    <w:rsid w:val="002941D3"/>
    <w:rsid w:val="00295263"/>
    <w:rsid w:val="0029556F"/>
    <w:rsid w:val="002966A3"/>
    <w:rsid w:val="002973A7"/>
    <w:rsid w:val="002976E7"/>
    <w:rsid w:val="002A14E3"/>
    <w:rsid w:val="002A259A"/>
    <w:rsid w:val="002A2665"/>
    <w:rsid w:val="002A2E54"/>
    <w:rsid w:val="002A351C"/>
    <w:rsid w:val="002A45A1"/>
    <w:rsid w:val="002A54E1"/>
    <w:rsid w:val="002A562E"/>
    <w:rsid w:val="002B12B5"/>
    <w:rsid w:val="002B41EF"/>
    <w:rsid w:val="002B45E1"/>
    <w:rsid w:val="002B4694"/>
    <w:rsid w:val="002B797D"/>
    <w:rsid w:val="002B7F3A"/>
    <w:rsid w:val="002C090A"/>
    <w:rsid w:val="002C1B72"/>
    <w:rsid w:val="002C1C40"/>
    <w:rsid w:val="002C2425"/>
    <w:rsid w:val="002C24F5"/>
    <w:rsid w:val="002C3D81"/>
    <w:rsid w:val="002C4511"/>
    <w:rsid w:val="002C5544"/>
    <w:rsid w:val="002C6190"/>
    <w:rsid w:val="002C692F"/>
    <w:rsid w:val="002D0371"/>
    <w:rsid w:val="002D5C23"/>
    <w:rsid w:val="002D5D50"/>
    <w:rsid w:val="002D6800"/>
    <w:rsid w:val="002D7816"/>
    <w:rsid w:val="002E22E9"/>
    <w:rsid w:val="002E4294"/>
    <w:rsid w:val="002E6929"/>
    <w:rsid w:val="002E7077"/>
    <w:rsid w:val="002F0322"/>
    <w:rsid w:val="002F0FD9"/>
    <w:rsid w:val="002F12DD"/>
    <w:rsid w:val="002F28A9"/>
    <w:rsid w:val="002F70BF"/>
    <w:rsid w:val="00300382"/>
    <w:rsid w:val="00300603"/>
    <w:rsid w:val="00301064"/>
    <w:rsid w:val="0030172A"/>
    <w:rsid w:val="00301C65"/>
    <w:rsid w:val="00302B9A"/>
    <w:rsid w:val="00302C59"/>
    <w:rsid w:val="003042F5"/>
    <w:rsid w:val="00304361"/>
    <w:rsid w:val="00304B68"/>
    <w:rsid w:val="00304E1C"/>
    <w:rsid w:val="0030614B"/>
    <w:rsid w:val="00306DB7"/>
    <w:rsid w:val="00310F16"/>
    <w:rsid w:val="00312121"/>
    <w:rsid w:val="003129FA"/>
    <w:rsid w:val="00312F3A"/>
    <w:rsid w:val="00314283"/>
    <w:rsid w:val="003166F7"/>
    <w:rsid w:val="00316B16"/>
    <w:rsid w:val="00316D94"/>
    <w:rsid w:val="0031739B"/>
    <w:rsid w:val="003213B6"/>
    <w:rsid w:val="003216CA"/>
    <w:rsid w:val="003224D9"/>
    <w:rsid w:val="00323D0E"/>
    <w:rsid w:val="00324AE0"/>
    <w:rsid w:val="00327D73"/>
    <w:rsid w:val="0033290A"/>
    <w:rsid w:val="00333028"/>
    <w:rsid w:val="00335701"/>
    <w:rsid w:val="00340F1E"/>
    <w:rsid w:val="003418A2"/>
    <w:rsid w:val="00341FB9"/>
    <w:rsid w:val="0034215C"/>
    <w:rsid w:val="0034322C"/>
    <w:rsid w:val="0034393D"/>
    <w:rsid w:val="003442EE"/>
    <w:rsid w:val="00345113"/>
    <w:rsid w:val="00345673"/>
    <w:rsid w:val="003460CC"/>
    <w:rsid w:val="003460D5"/>
    <w:rsid w:val="003479E3"/>
    <w:rsid w:val="00350CE2"/>
    <w:rsid w:val="00350E71"/>
    <w:rsid w:val="00351BF5"/>
    <w:rsid w:val="00352D83"/>
    <w:rsid w:val="00352E3C"/>
    <w:rsid w:val="00353F42"/>
    <w:rsid w:val="003540E8"/>
    <w:rsid w:val="00354B3D"/>
    <w:rsid w:val="00356533"/>
    <w:rsid w:val="00356C4A"/>
    <w:rsid w:val="003612DF"/>
    <w:rsid w:val="003616D5"/>
    <w:rsid w:val="0036309F"/>
    <w:rsid w:val="00363554"/>
    <w:rsid w:val="003637E1"/>
    <w:rsid w:val="0036513A"/>
    <w:rsid w:val="0036558F"/>
    <w:rsid w:val="003667B6"/>
    <w:rsid w:val="00366E4B"/>
    <w:rsid w:val="00367D9C"/>
    <w:rsid w:val="00371D62"/>
    <w:rsid w:val="003723EB"/>
    <w:rsid w:val="00374273"/>
    <w:rsid w:val="00375E56"/>
    <w:rsid w:val="003763BD"/>
    <w:rsid w:val="00376899"/>
    <w:rsid w:val="00376C62"/>
    <w:rsid w:val="00376F9D"/>
    <w:rsid w:val="0037778C"/>
    <w:rsid w:val="00380FEC"/>
    <w:rsid w:val="00382BD1"/>
    <w:rsid w:val="003865CE"/>
    <w:rsid w:val="00386A23"/>
    <w:rsid w:val="00392D30"/>
    <w:rsid w:val="00393014"/>
    <w:rsid w:val="00396ABF"/>
    <w:rsid w:val="003A379C"/>
    <w:rsid w:val="003A4C41"/>
    <w:rsid w:val="003A528D"/>
    <w:rsid w:val="003A77F4"/>
    <w:rsid w:val="003B27B2"/>
    <w:rsid w:val="003B3129"/>
    <w:rsid w:val="003B427E"/>
    <w:rsid w:val="003B554D"/>
    <w:rsid w:val="003B5606"/>
    <w:rsid w:val="003C038E"/>
    <w:rsid w:val="003C2160"/>
    <w:rsid w:val="003C26DB"/>
    <w:rsid w:val="003C33AE"/>
    <w:rsid w:val="003C562D"/>
    <w:rsid w:val="003C7072"/>
    <w:rsid w:val="003C770E"/>
    <w:rsid w:val="003D0666"/>
    <w:rsid w:val="003D0BB2"/>
    <w:rsid w:val="003D38E7"/>
    <w:rsid w:val="003D5DF2"/>
    <w:rsid w:val="003D7BD6"/>
    <w:rsid w:val="003E075B"/>
    <w:rsid w:val="003E1639"/>
    <w:rsid w:val="003E2C80"/>
    <w:rsid w:val="003E44BD"/>
    <w:rsid w:val="003E5250"/>
    <w:rsid w:val="003E5386"/>
    <w:rsid w:val="003E53A8"/>
    <w:rsid w:val="003E6C8E"/>
    <w:rsid w:val="003E7200"/>
    <w:rsid w:val="003E7C1D"/>
    <w:rsid w:val="003F0086"/>
    <w:rsid w:val="003F0D8C"/>
    <w:rsid w:val="003F22B3"/>
    <w:rsid w:val="003F26ED"/>
    <w:rsid w:val="003F3705"/>
    <w:rsid w:val="003F37A8"/>
    <w:rsid w:val="003F4106"/>
    <w:rsid w:val="003F619A"/>
    <w:rsid w:val="003F70DC"/>
    <w:rsid w:val="003F7982"/>
    <w:rsid w:val="004010E6"/>
    <w:rsid w:val="004019C5"/>
    <w:rsid w:val="00401E80"/>
    <w:rsid w:val="00403CFA"/>
    <w:rsid w:val="004073B2"/>
    <w:rsid w:val="00410014"/>
    <w:rsid w:val="00410C3B"/>
    <w:rsid w:val="00413C3A"/>
    <w:rsid w:val="00414443"/>
    <w:rsid w:val="00414F82"/>
    <w:rsid w:val="00415019"/>
    <w:rsid w:val="004166FC"/>
    <w:rsid w:val="00416A78"/>
    <w:rsid w:val="004177BC"/>
    <w:rsid w:val="004225B9"/>
    <w:rsid w:val="00423749"/>
    <w:rsid w:val="0042387F"/>
    <w:rsid w:val="00423CB0"/>
    <w:rsid w:val="00427343"/>
    <w:rsid w:val="00427959"/>
    <w:rsid w:val="004314C1"/>
    <w:rsid w:val="00433D6F"/>
    <w:rsid w:val="00434BDD"/>
    <w:rsid w:val="00435B57"/>
    <w:rsid w:val="004376C7"/>
    <w:rsid w:val="0044065D"/>
    <w:rsid w:val="004416AB"/>
    <w:rsid w:val="00441A95"/>
    <w:rsid w:val="0044249A"/>
    <w:rsid w:val="00442E19"/>
    <w:rsid w:val="004440B8"/>
    <w:rsid w:val="00444D06"/>
    <w:rsid w:val="00446E77"/>
    <w:rsid w:val="004511D9"/>
    <w:rsid w:val="0045141C"/>
    <w:rsid w:val="004519AB"/>
    <w:rsid w:val="004533C9"/>
    <w:rsid w:val="00453BD4"/>
    <w:rsid w:val="00453F64"/>
    <w:rsid w:val="004542F6"/>
    <w:rsid w:val="0045493A"/>
    <w:rsid w:val="00455EEB"/>
    <w:rsid w:val="004560B9"/>
    <w:rsid w:val="00457BD7"/>
    <w:rsid w:val="0046096A"/>
    <w:rsid w:val="00460C14"/>
    <w:rsid w:val="00461406"/>
    <w:rsid w:val="00463FBA"/>
    <w:rsid w:val="004643ED"/>
    <w:rsid w:val="00465653"/>
    <w:rsid w:val="004659E5"/>
    <w:rsid w:val="00467CEE"/>
    <w:rsid w:val="00472184"/>
    <w:rsid w:val="00474F75"/>
    <w:rsid w:val="0047521F"/>
    <w:rsid w:val="004762B0"/>
    <w:rsid w:val="00477E4C"/>
    <w:rsid w:val="00480280"/>
    <w:rsid w:val="00480B34"/>
    <w:rsid w:val="004812F6"/>
    <w:rsid w:val="00483D81"/>
    <w:rsid w:val="00484200"/>
    <w:rsid w:val="004842A1"/>
    <w:rsid w:val="0048482E"/>
    <w:rsid w:val="00484C13"/>
    <w:rsid w:val="0048605C"/>
    <w:rsid w:val="004866A8"/>
    <w:rsid w:val="0049050C"/>
    <w:rsid w:val="004908A4"/>
    <w:rsid w:val="004943C4"/>
    <w:rsid w:val="004952C4"/>
    <w:rsid w:val="00495AD6"/>
    <w:rsid w:val="00496A96"/>
    <w:rsid w:val="0049747F"/>
    <w:rsid w:val="004A05EC"/>
    <w:rsid w:val="004A0A43"/>
    <w:rsid w:val="004A100E"/>
    <w:rsid w:val="004A1181"/>
    <w:rsid w:val="004A1A6B"/>
    <w:rsid w:val="004A290F"/>
    <w:rsid w:val="004A39B0"/>
    <w:rsid w:val="004A3EE4"/>
    <w:rsid w:val="004A4A95"/>
    <w:rsid w:val="004A4F52"/>
    <w:rsid w:val="004A5188"/>
    <w:rsid w:val="004A5B00"/>
    <w:rsid w:val="004B0985"/>
    <w:rsid w:val="004B28E1"/>
    <w:rsid w:val="004B2F97"/>
    <w:rsid w:val="004B3AAE"/>
    <w:rsid w:val="004B79F9"/>
    <w:rsid w:val="004B7BC3"/>
    <w:rsid w:val="004C1E4D"/>
    <w:rsid w:val="004C461C"/>
    <w:rsid w:val="004C6584"/>
    <w:rsid w:val="004C7FD3"/>
    <w:rsid w:val="004D03D3"/>
    <w:rsid w:val="004D1125"/>
    <w:rsid w:val="004D1446"/>
    <w:rsid w:val="004D27E8"/>
    <w:rsid w:val="004D3AAD"/>
    <w:rsid w:val="004D440E"/>
    <w:rsid w:val="004D7975"/>
    <w:rsid w:val="004D7C1A"/>
    <w:rsid w:val="004D7FC6"/>
    <w:rsid w:val="004E0215"/>
    <w:rsid w:val="004E0EA3"/>
    <w:rsid w:val="004E3D5F"/>
    <w:rsid w:val="004E543C"/>
    <w:rsid w:val="004E5802"/>
    <w:rsid w:val="004E6B2D"/>
    <w:rsid w:val="004E7644"/>
    <w:rsid w:val="004F107C"/>
    <w:rsid w:val="004F1561"/>
    <w:rsid w:val="004F563E"/>
    <w:rsid w:val="00503004"/>
    <w:rsid w:val="005031F8"/>
    <w:rsid w:val="00503599"/>
    <w:rsid w:val="005040BE"/>
    <w:rsid w:val="0050422A"/>
    <w:rsid w:val="00504980"/>
    <w:rsid w:val="005065C2"/>
    <w:rsid w:val="005071B7"/>
    <w:rsid w:val="00511801"/>
    <w:rsid w:val="005138D1"/>
    <w:rsid w:val="005145B7"/>
    <w:rsid w:val="00515952"/>
    <w:rsid w:val="00520A43"/>
    <w:rsid w:val="00524AF7"/>
    <w:rsid w:val="0052515C"/>
    <w:rsid w:val="00527285"/>
    <w:rsid w:val="005306A9"/>
    <w:rsid w:val="005308F9"/>
    <w:rsid w:val="005330EC"/>
    <w:rsid w:val="00534AD6"/>
    <w:rsid w:val="005351E9"/>
    <w:rsid w:val="00536796"/>
    <w:rsid w:val="005379CF"/>
    <w:rsid w:val="00540A3A"/>
    <w:rsid w:val="005434A0"/>
    <w:rsid w:val="00543C41"/>
    <w:rsid w:val="00543F2C"/>
    <w:rsid w:val="005441A6"/>
    <w:rsid w:val="00545907"/>
    <w:rsid w:val="005479FF"/>
    <w:rsid w:val="0055024C"/>
    <w:rsid w:val="00550E02"/>
    <w:rsid w:val="00551573"/>
    <w:rsid w:val="00553F09"/>
    <w:rsid w:val="00556158"/>
    <w:rsid w:val="00556929"/>
    <w:rsid w:val="00556F0A"/>
    <w:rsid w:val="00557946"/>
    <w:rsid w:val="005632EA"/>
    <w:rsid w:val="00563B35"/>
    <w:rsid w:val="005641B8"/>
    <w:rsid w:val="00566B72"/>
    <w:rsid w:val="0057076C"/>
    <w:rsid w:val="00572A90"/>
    <w:rsid w:val="00573034"/>
    <w:rsid w:val="00573B70"/>
    <w:rsid w:val="00574C93"/>
    <w:rsid w:val="005752BF"/>
    <w:rsid w:val="00575EFA"/>
    <w:rsid w:val="00575FFD"/>
    <w:rsid w:val="0057761F"/>
    <w:rsid w:val="00580552"/>
    <w:rsid w:val="00580D72"/>
    <w:rsid w:val="0058352D"/>
    <w:rsid w:val="00583C4C"/>
    <w:rsid w:val="00586829"/>
    <w:rsid w:val="005900C7"/>
    <w:rsid w:val="0059068D"/>
    <w:rsid w:val="00592267"/>
    <w:rsid w:val="0059281C"/>
    <w:rsid w:val="00593ED5"/>
    <w:rsid w:val="00593F34"/>
    <w:rsid w:val="005A0C1F"/>
    <w:rsid w:val="005A42E3"/>
    <w:rsid w:val="005A7798"/>
    <w:rsid w:val="005B0EFC"/>
    <w:rsid w:val="005B13DF"/>
    <w:rsid w:val="005B482B"/>
    <w:rsid w:val="005B56D7"/>
    <w:rsid w:val="005B57A4"/>
    <w:rsid w:val="005B5920"/>
    <w:rsid w:val="005B5A84"/>
    <w:rsid w:val="005B65F0"/>
    <w:rsid w:val="005B6B2F"/>
    <w:rsid w:val="005B6F29"/>
    <w:rsid w:val="005C0B88"/>
    <w:rsid w:val="005C1478"/>
    <w:rsid w:val="005C2B4D"/>
    <w:rsid w:val="005C4914"/>
    <w:rsid w:val="005D2ABA"/>
    <w:rsid w:val="005D549B"/>
    <w:rsid w:val="005E0B39"/>
    <w:rsid w:val="005E1112"/>
    <w:rsid w:val="005E18C6"/>
    <w:rsid w:val="005E2DCC"/>
    <w:rsid w:val="005E3BE7"/>
    <w:rsid w:val="005E6476"/>
    <w:rsid w:val="005E70F5"/>
    <w:rsid w:val="005E7A52"/>
    <w:rsid w:val="005F325F"/>
    <w:rsid w:val="005F5E11"/>
    <w:rsid w:val="005F619E"/>
    <w:rsid w:val="005F682A"/>
    <w:rsid w:val="005F70F3"/>
    <w:rsid w:val="005F778E"/>
    <w:rsid w:val="0060214B"/>
    <w:rsid w:val="00602302"/>
    <w:rsid w:val="006047ED"/>
    <w:rsid w:val="00606071"/>
    <w:rsid w:val="006062E7"/>
    <w:rsid w:val="00606601"/>
    <w:rsid w:val="00606E1B"/>
    <w:rsid w:val="00607287"/>
    <w:rsid w:val="006075B3"/>
    <w:rsid w:val="00607E31"/>
    <w:rsid w:val="0061075E"/>
    <w:rsid w:val="00613CDB"/>
    <w:rsid w:val="00615165"/>
    <w:rsid w:val="00620F86"/>
    <w:rsid w:val="006213C0"/>
    <w:rsid w:val="0062585B"/>
    <w:rsid w:val="00625D4D"/>
    <w:rsid w:val="006310A3"/>
    <w:rsid w:val="00632241"/>
    <w:rsid w:val="006350A2"/>
    <w:rsid w:val="00635221"/>
    <w:rsid w:val="00637395"/>
    <w:rsid w:val="00641417"/>
    <w:rsid w:val="00644ED9"/>
    <w:rsid w:val="00646423"/>
    <w:rsid w:val="00646B73"/>
    <w:rsid w:val="00646D2F"/>
    <w:rsid w:val="006515AA"/>
    <w:rsid w:val="0065166F"/>
    <w:rsid w:val="00652CE0"/>
    <w:rsid w:val="00653BED"/>
    <w:rsid w:val="00654321"/>
    <w:rsid w:val="00654326"/>
    <w:rsid w:val="00656498"/>
    <w:rsid w:val="006577BE"/>
    <w:rsid w:val="00657FBF"/>
    <w:rsid w:val="00661012"/>
    <w:rsid w:val="006624CC"/>
    <w:rsid w:val="00662ED0"/>
    <w:rsid w:val="00662F10"/>
    <w:rsid w:val="0066368A"/>
    <w:rsid w:val="00663BEC"/>
    <w:rsid w:val="00664575"/>
    <w:rsid w:val="00667148"/>
    <w:rsid w:val="00670E3D"/>
    <w:rsid w:val="00672579"/>
    <w:rsid w:val="00672870"/>
    <w:rsid w:val="0067300D"/>
    <w:rsid w:val="0067512C"/>
    <w:rsid w:val="006804AC"/>
    <w:rsid w:val="006809E4"/>
    <w:rsid w:val="00682336"/>
    <w:rsid w:val="0068314D"/>
    <w:rsid w:val="0068317C"/>
    <w:rsid w:val="006872B1"/>
    <w:rsid w:val="00691E38"/>
    <w:rsid w:val="00692E5D"/>
    <w:rsid w:val="00694E2D"/>
    <w:rsid w:val="00697EF2"/>
    <w:rsid w:val="006A072B"/>
    <w:rsid w:val="006A13AB"/>
    <w:rsid w:val="006A1F93"/>
    <w:rsid w:val="006A2D8B"/>
    <w:rsid w:val="006A3927"/>
    <w:rsid w:val="006A39FF"/>
    <w:rsid w:val="006B06B8"/>
    <w:rsid w:val="006B0DA9"/>
    <w:rsid w:val="006B1225"/>
    <w:rsid w:val="006B1B76"/>
    <w:rsid w:val="006B262A"/>
    <w:rsid w:val="006B5E8C"/>
    <w:rsid w:val="006B64A2"/>
    <w:rsid w:val="006B78B4"/>
    <w:rsid w:val="006C069B"/>
    <w:rsid w:val="006C08B9"/>
    <w:rsid w:val="006C0B52"/>
    <w:rsid w:val="006C53B8"/>
    <w:rsid w:val="006C5E01"/>
    <w:rsid w:val="006C73DA"/>
    <w:rsid w:val="006C79BC"/>
    <w:rsid w:val="006D0713"/>
    <w:rsid w:val="006D159B"/>
    <w:rsid w:val="006D1927"/>
    <w:rsid w:val="006D4AB1"/>
    <w:rsid w:val="006D66E3"/>
    <w:rsid w:val="006E098B"/>
    <w:rsid w:val="006E1CEA"/>
    <w:rsid w:val="006E3AA7"/>
    <w:rsid w:val="006E3DC5"/>
    <w:rsid w:val="006E4497"/>
    <w:rsid w:val="006E6AEA"/>
    <w:rsid w:val="006F38C4"/>
    <w:rsid w:val="006F5F91"/>
    <w:rsid w:val="006F6F7F"/>
    <w:rsid w:val="006F775F"/>
    <w:rsid w:val="00701099"/>
    <w:rsid w:val="00702176"/>
    <w:rsid w:val="00702743"/>
    <w:rsid w:val="00702C98"/>
    <w:rsid w:val="007037D1"/>
    <w:rsid w:val="007046C9"/>
    <w:rsid w:val="007051F6"/>
    <w:rsid w:val="007063F6"/>
    <w:rsid w:val="0070658B"/>
    <w:rsid w:val="0070753F"/>
    <w:rsid w:val="007102E4"/>
    <w:rsid w:val="00710A37"/>
    <w:rsid w:val="007111A0"/>
    <w:rsid w:val="007128C6"/>
    <w:rsid w:val="00714580"/>
    <w:rsid w:val="00714CC2"/>
    <w:rsid w:val="0072186B"/>
    <w:rsid w:val="00727EEC"/>
    <w:rsid w:val="00733427"/>
    <w:rsid w:val="00733BF0"/>
    <w:rsid w:val="00735097"/>
    <w:rsid w:val="007355A2"/>
    <w:rsid w:val="00736735"/>
    <w:rsid w:val="0073798D"/>
    <w:rsid w:val="00737DCA"/>
    <w:rsid w:val="0074026D"/>
    <w:rsid w:val="0074055A"/>
    <w:rsid w:val="00740664"/>
    <w:rsid w:val="00740955"/>
    <w:rsid w:val="00741D80"/>
    <w:rsid w:val="0074278B"/>
    <w:rsid w:val="00742B02"/>
    <w:rsid w:val="00742BCE"/>
    <w:rsid w:val="00742F02"/>
    <w:rsid w:val="00743800"/>
    <w:rsid w:val="00744AC9"/>
    <w:rsid w:val="00745146"/>
    <w:rsid w:val="0075032D"/>
    <w:rsid w:val="007503F0"/>
    <w:rsid w:val="007519D7"/>
    <w:rsid w:val="0075371A"/>
    <w:rsid w:val="00753788"/>
    <w:rsid w:val="00755E50"/>
    <w:rsid w:val="007564EF"/>
    <w:rsid w:val="00756746"/>
    <w:rsid w:val="007567A8"/>
    <w:rsid w:val="00761C88"/>
    <w:rsid w:val="00762DC2"/>
    <w:rsid w:val="007673CD"/>
    <w:rsid w:val="007674F4"/>
    <w:rsid w:val="0077099C"/>
    <w:rsid w:val="0077375F"/>
    <w:rsid w:val="00773879"/>
    <w:rsid w:val="00773B94"/>
    <w:rsid w:val="007743BB"/>
    <w:rsid w:val="00774570"/>
    <w:rsid w:val="00774CCA"/>
    <w:rsid w:val="00774DAE"/>
    <w:rsid w:val="00777016"/>
    <w:rsid w:val="0077729F"/>
    <w:rsid w:val="00781EE8"/>
    <w:rsid w:val="007826BF"/>
    <w:rsid w:val="00782E19"/>
    <w:rsid w:val="007840B0"/>
    <w:rsid w:val="00784C82"/>
    <w:rsid w:val="007852FC"/>
    <w:rsid w:val="00786334"/>
    <w:rsid w:val="00786DAF"/>
    <w:rsid w:val="007903D6"/>
    <w:rsid w:val="00790828"/>
    <w:rsid w:val="00790FAF"/>
    <w:rsid w:val="007910D9"/>
    <w:rsid w:val="00791DD0"/>
    <w:rsid w:val="00792715"/>
    <w:rsid w:val="00796D05"/>
    <w:rsid w:val="00796E8E"/>
    <w:rsid w:val="00796F41"/>
    <w:rsid w:val="007A0272"/>
    <w:rsid w:val="007A0A27"/>
    <w:rsid w:val="007A1507"/>
    <w:rsid w:val="007A175B"/>
    <w:rsid w:val="007A37AC"/>
    <w:rsid w:val="007A6A6E"/>
    <w:rsid w:val="007A7BBD"/>
    <w:rsid w:val="007A7D3D"/>
    <w:rsid w:val="007B0C8A"/>
    <w:rsid w:val="007B1AB5"/>
    <w:rsid w:val="007B2E72"/>
    <w:rsid w:val="007B2F4A"/>
    <w:rsid w:val="007B3476"/>
    <w:rsid w:val="007B470F"/>
    <w:rsid w:val="007B6E03"/>
    <w:rsid w:val="007C09BD"/>
    <w:rsid w:val="007C1D94"/>
    <w:rsid w:val="007C38E4"/>
    <w:rsid w:val="007C40F6"/>
    <w:rsid w:val="007C65D1"/>
    <w:rsid w:val="007C6944"/>
    <w:rsid w:val="007C6972"/>
    <w:rsid w:val="007C71BC"/>
    <w:rsid w:val="007C7CA5"/>
    <w:rsid w:val="007D04C4"/>
    <w:rsid w:val="007D071F"/>
    <w:rsid w:val="007D0812"/>
    <w:rsid w:val="007E1BF3"/>
    <w:rsid w:val="007E3F89"/>
    <w:rsid w:val="007E5F2B"/>
    <w:rsid w:val="007E663C"/>
    <w:rsid w:val="007E68AB"/>
    <w:rsid w:val="007E6BDA"/>
    <w:rsid w:val="007F1B02"/>
    <w:rsid w:val="007F1D7A"/>
    <w:rsid w:val="007F4B63"/>
    <w:rsid w:val="007F5185"/>
    <w:rsid w:val="007F522E"/>
    <w:rsid w:val="007F678D"/>
    <w:rsid w:val="00802B69"/>
    <w:rsid w:val="00803B6F"/>
    <w:rsid w:val="00804ED8"/>
    <w:rsid w:val="008058C2"/>
    <w:rsid w:val="00806B39"/>
    <w:rsid w:val="008079D2"/>
    <w:rsid w:val="00810A72"/>
    <w:rsid w:val="00812315"/>
    <w:rsid w:val="008138EB"/>
    <w:rsid w:val="00814CFD"/>
    <w:rsid w:val="008154FB"/>
    <w:rsid w:val="00816D34"/>
    <w:rsid w:val="008176C1"/>
    <w:rsid w:val="00817DE9"/>
    <w:rsid w:val="00821292"/>
    <w:rsid w:val="00821CB6"/>
    <w:rsid w:val="00821EBE"/>
    <w:rsid w:val="0082251C"/>
    <w:rsid w:val="00823223"/>
    <w:rsid w:val="00825F06"/>
    <w:rsid w:val="00827AD6"/>
    <w:rsid w:val="00830814"/>
    <w:rsid w:val="00832434"/>
    <w:rsid w:val="00833166"/>
    <w:rsid w:val="00833D13"/>
    <w:rsid w:val="008406B4"/>
    <w:rsid w:val="00842B5D"/>
    <w:rsid w:val="00842E7C"/>
    <w:rsid w:val="00843B6B"/>
    <w:rsid w:val="00845708"/>
    <w:rsid w:val="00845B05"/>
    <w:rsid w:val="00850E38"/>
    <w:rsid w:val="008532A6"/>
    <w:rsid w:val="008535BE"/>
    <w:rsid w:val="008536B5"/>
    <w:rsid w:val="008577AA"/>
    <w:rsid w:val="00857E16"/>
    <w:rsid w:val="00860C1A"/>
    <w:rsid w:val="0086139F"/>
    <w:rsid w:val="0086438F"/>
    <w:rsid w:val="0086452B"/>
    <w:rsid w:val="00865D65"/>
    <w:rsid w:val="00867359"/>
    <w:rsid w:val="00874DE6"/>
    <w:rsid w:val="00874E03"/>
    <w:rsid w:val="0087557A"/>
    <w:rsid w:val="00875669"/>
    <w:rsid w:val="00875C63"/>
    <w:rsid w:val="00875D0F"/>
    <w:rsid w:val="00876D4A"/>
    <w:rsid w:val="008778B3"/>
    <w:rsid w:val="00877B2F"/>
    <w:rsid w:val="00877CA8"/>
    <w:rsid w:val="00880044"/>
    <w:rsid w:val="00880D7B"/>
    <w:rsid w:val="00880F24"/>
    <w:rsid w:val="0088182F"/>
    <w:rsid w:val="008836EC"/>
    <w:rsid w:val="00883BE4"/>
    <w:rsid w:val="00884825"/>
    <w:rsid w:val="00885552"/>
    <w:rsid w:val="008857E2"/>
    <w:rsid w:val="00886034"/>
    <w:rsid w:val="00886AA2"/>
    <w:rsid w:val="008870D6"/>
    <w:rsid w:val="00890B54"/>
    <w:rsid w:val="0089237A"/>
    <w:rsid w:val="00892809"/>
    <w:rsid w:val="008941BC"/>
    <w:rsid w:val="00895357"/>
    <w:rsid w:val="0089551B"/>
    <w:rsid w:val="00896FC7"/>
    <w:rsid w:val="008A3590"/>
    <w:rsid w:val="008A4452"/>
    <w:rsid w:val="008A671F"/>
    <w:rsid w:val="008A7646"/>
    <w:rsid w:val="008B0BFE"/>
    <w:rsid w:val="008B0F93"/>
    <w:rsid w:val="008B111C"/>
    <w:rsid w:val="008B2C4E"/>
    <w:rsid w:val="008B3DE2"/>
    <w:rsid w:val="008B4384"/>
    <w:rsid w:val="008B46E0"/>
    <w:rsid w:val="008B578D"/>
    <w:rsid w:val="008B7963"/>
    <w:rsid w:val="008C1284"/>
    <w:rsid w:val="008C185A"/>
    <w:rsid w:val="008C2400"/>
    <w:rsid w:val="008C29EA"/>
    <w:rsid w:val="008C4C64"/>
    <w:rsid w:val="008C75D8"/>
    <w:rsid w:val="008D37C9"/>
    <w:rsid w:val="008D3F5B"/>
    <w:rsid w:val="008D4CB9"/>
    <w:rsid w:val="008D5C5D"/>
    <w:rsid w:val="008D65E9"/>
    <w:rsid w:val="008D78C7"/>
    <w:rsid w:val="008D79E3"/>
    <w:rsid w:val="008D7A37"/>
    <w:rsid w:val="008E146E"/>
    <w:rsid w:val="008E3497"/>
    <w:rsid w:val="008E4D02"/>
    <w:rsid w:val="008E5D71"/>
    <w:rsid w:val="008F14B9"/>
    <w:rsid w:val="008F1F9C"/>
    <w:rsid w:val="008F4B2B"/>
    <w:rsid w:val="008F4D31"/>
    <w:rsid w:val="008F50F1"/>
    <w:rsid w:val="008F55B9"/>
    <w:rsid w:val="008F5BE2"/>
    <w:rsid w:val="00900220"/>
    <w:rsid w:val="00900301"/>
    <w:rsid w:val="00903EC7"/>
    <w:rsid w:val="00904578"/>
    <w:rsid w:val="009070F8"/>
    <w:rsid w:val="009077FA"/>
    <w:rsid w:val="009106CD"/>
    <w:rsid w:val="009108B2"/>
    <w:rsid w:val="0091138C"/>
    <w:rsid w:val="00913B48"/>
    <w:rsid w:val="009143B6"/>
    <w:rsid w:val="0091442C"/>
    <w:rsid w:val="00914F7C"/>
    <w:rsid w:val="0091510A"/>
    <w:rsid w:val="009160A3"/>
    <w:rsid w:val="0091638D"/>
    <w:rsid w:val="00917A7A"/>
    <w:rsid w:val="00917CE6"/>
    <w:rsid w:val="00920854"/>
    <w:rsid w:val="00920CF8"/>
    <w:rsid w:val="0092219B"/>
    <w:rsid w:val="0092319C"/>
    <w:rsid w:val="009249F7"/>
    <w:rsid w:val="00925B80"/>
    <w:rsid w:val="0092638C"/>
    <w:rsid w:val="009301B7"/>
    <w:rsid w:val="00930E1C"/>
    <w:rsid w:val="00931DDB"/>
    <w:rsid w:val="0093308E"/>
    <w:rsid w:val="009343FE"/>
    <w:rsid w:val="00940091"/>
    <w:rsid w:val="00941B1D"/>
    <w:rsid w:val="00942231"/>
    <w:rsid w:val="00942896"/>
    <w:rsid w:val="00943D32"/>
    <w:rsid w:val="00945570"/>
    <w:rsid w:val="00945AD7"/>
    <w:rsid w:val="0094615F"/>
    <w:rsid w:val="00950F7F"/>
    <w:rsid w:val="009526DF"/>
    <w:rsid w:val="0095458B"/>
    <w:rsid w:val="0095470F"/>
    <w:rsid w:val="009549DD"/>
    <w:rsid w:val="00954CC8"/>
    <w:rsid w:val="00955565"/>
    <w:rsid w:val="00957F99"/>
    <w:rsid w:val="00960121"/>
    <w:rsid w:val="00960156"/>
    <w:rsid w:val="009614C9"/>
    <w:rsid w:val="009623D0"/>
    <w:rsid w:val="00962672"/>
    <w:rsid w:val="00962C2A"/>
    <w:rsid w:val="009642BC"/>
    <w:rsid w:val="0096640A"/>
    <w:rsid w:val="009667EA"/>
    <w:rsid w:val="00972461"/>
    <w:rsid w:val="00972E54"/>
    <w:rsid w:val="009756AE"/>
    <w:rsid w:val="009802D4"/>
    <w:rsid w:val="00980AC0"/>
    <w:rsid w:val="0098151A"/>
    <w:rsid w:val="009821C3"/>
    <w:rsid w:val="00982F7D"/>
    <w:rsid w:val="00983631"/>
    <w:rsid w:val="00984336"/>
    <w:rsid w:val="00984AD9"/>
    <w:rsid w:val="00987836"/>
    <w:rsid w:val="00991195"/>
    <w:rsid w:val="00991FA0"/>
    <w:rsid w:val="009932C9"/>
    <w:rsid w:val="00993997"/>
    <w:rsid w:val="00996DAF"/>
    <w:rsid w:val="009A3101"/>
    <w:rsid w:val="009A3588"/>
    <w:rsid w:val="009A5509"/>
    <w:rsid w:val="009A6177"/>
    <w:rsid w:val="009A7D57"/>
    <w:rsid w:val="009B0236"/>
    <w:rsid w:val="009B0490"/>
    <w:rsid w:val="009B08EB"/>
    <w:rsid w:val="009B0CC1"/>
    <w:rsid w:val="009B17D0"/>
    <w:rsid w:val="009B1DCA"/>
    <w:rsid w:val="009B2735"/>
    <w:rsid w:val="009B2A51"/>
    <w:rsid w:val="009B5B40"/>
    <w:rsid w:val="009B5F19"/>
    <w:rsid w:val="009B7089"/>
    <w:rsid w:val="009C18DE"/>
    <w:rsid w:val="009C6550"/>
    <w:rsid w:val="009C7078"/>
    <w:rsid w:val="009D1AFE"/>
    <w:rsid w:val="009D3152"/>
    <w:rsid w:val="009D3477"/>
    <w:rsid w:val="009D4BCB"/>
    <w:rsid w:val="009D4DCC"/>
    <w:rsid w:val="009D61F3"/>
    <w:rsid w:val="009D7C16"/>
    <w:rsid w:val="009E0B62"/>
    <w:rsid w:val="009E408C"/>
    <w:rsid w:val="009E417A"/>
    <w:rsid w:val="009E5CE4"/>
    <w:rsid w:val="009E5F6C"/>
    <w:rsid w:val="009E655B"/>
    <w:rsid w:val="009F1839"/>
    <w:rsid w:val="009F1C8A"/>
    <w:rsid w:val="009F1D0B"/>
    <w:rsid w:val="009F3B51"/>
    <w:rsid w:val="009F4242"/>
    <w:rsid w:val="009F5C4A"/>
    <w:rsid w:val="009F65A1"/>
    <w:rsid w:val="009F6D10"/>
    <w:rsid w:val="009F6D4C"/>
    <w:rsid w:val="00A00962"/>
    <w:rsid w:val="00A00BB2"/>
    <w:rsid w:val="00A01C3A"/>
    <w:rsid w:val="00A0575D"/>
    <w:rsid w:val="00A058BA"/>
    <w:rsid w:val="00A0643C"/>
    <w:rsid w:val="00A06588"/>
    <w:rsid w:val="00A12437"/>
    <w:rsid w:val="00A14DAD"/>
    <w:rsid w:val="00A167CE"/>
    <w:rsid w:val="00A2115D"/>
    <w:rsid w:val="00A215E2"/>
    <w:rsid w:val="00A221EC"/>
    <w:rsid w:val="00A2233D"/>
    <w:rsid w:val="00A234D6"/>
    <w:rsid w:val="00A25EAB"/>
    <w:rsid w:val="00A26336"/>
    <w:rsid w:val="00A27431"/>
    <w:rsid w:val="00A277A6"/>
    <w:rsid w:val="00A31E31"/>
    <w:rsid w:val="00A32A5B"/>
    <w:rsid w:val="00A335BC"/>
    <w:rsid w:val="00A3743E"/>
    <w:rsid w:val="00A37DE2"/>
    <w:rsid w:val="00A40C61"/>
    <w:rsid w:val="00A438CC"/>
    <w:rsid w:val="00A43AC3"/>
    <w:rsid w:val="00A45176"/>
    <w:rsid w:val="00A46AAF"/>
    <w:rsid w:val="00A4758A"/>
    <w:rsid w:val="00A50264"/>
    <w:rsid w:val="00A51975"/>
    <w:rsid w:val="00A537AB"/>
    <w:rsid w:val="00A54636"/>
    <w:rsid w:val="00A54F01"/>
    <w:rsid w:val="00A561DD"/>
    <w:rsid w:val="00A562FB"/>
    <w:rsid w:val="00A57956"/>
    <w:rsid w:val="00A57E86"/>
    <w:rsid w:val="00A60092"/>
    <w:rsid w:val="00A6325C"/>
    <w:rsid w:val="00A6388C"/>
    <w:rsid w:val="00A63B33"/>
    <w:rsid w:val="00A64525"/>
    <w:rsid w:val="00A65CF7"/>
    <w:rsid w:val="00A665A5"/>
    <w:rsid w:val="00A70BB8"/>
    <w:rsid w:val="00A70CB2"/>
    <w:rsid w:val="00A7161B"/>
    <w:rsid w:val="00A723F3"/>
    <w:rsid w:val="00A7429D"/>
    <w:rsid w:val="00A75433"/>
    <w:rsid w:val="00A75C78"/>
    <w:rsid w:val="00A75F6E"/>
    <w:rsid w:val="00A765F2"/>
    <w:rsid w:val="00A803D4"/>
    <w:rsid w:val="00A80B85"/>
    <w:rsid w:val="00A817B5"/>
    <w:rsid w:val="00A82138"/>
    <w:rsid w:val="00A84AD0"/>
    <w:rsid w:val="00A84B44"/>
    <w:rsid w:val="00A84F6E"/>
    <w:rsid w:val="00A85A70"/>
    <w:rsid w:val="00A85D9A"/>
    <w:rsid w:val="00A869CE"/>
    <w:rsid w:val="00A87C18"/>
    <w:rsid w:val="00A91220"/>
    <w:rsid w:val="00A9151D"/>
    <w:rsid w:val="00A92449"/>
    <w:rsid w:val="00A945B6"/>
    <w:rsid w:val="00A9462C"/>
    <w:rsid w:val="00A95B52"/>
    <w:rsid w:val="00A9608F"/>
    <w:rsid w:val="00A968B3"/>
    <w:rsid w:val="00AA023C"/>
    <w:rsid w:val="00AA370A"/>
    <w:rsid w:val="00AA4B49"/>
    <w:rsid w:val="00AA514C"/>
    <w:rsid w:val="00AA559B"/>
    <w:rsid w:val="00AA6671"/>
    <w:rsid w:val="00AA6687"/>
    <w:rsid w:val="00AA7DDD"/>
    <w:rsid w:val="00AB0365"/>
    <w:rsid w:val="00AB2D10"/>
    <w:rsid w:val="00AB3561"/>
    <w:rsid w:val="00AB38F9"/>
    <w:rsid w:val="00AB3C12"/>
    <w:rsid w:val="00AB565B"/>
    <w:rsid w:val="00AB6895"/>
    <w:rsid w:val="00AB6D87"/>
    <w:rsid w:val="00AB7C78"/>
    <w:rsid w:val="00AC0279"/>
    <w:rsid w:val="00AC04C6"/>
    <w:rsid w:val="00AC0737"/>
    <w:rsid w:val="00AC115E"/>
    <w:rsid w:val="00AC2C4F"/>
    <w:rsid w:val="00AC2E10"/>
    <w:rsid w:val="00AC39CD"/>
    <w:rsid w:val="00AC3B22"/>
    <w:rsid w:val="00AD2959"/>
    <w:rsid w:val="00AD2DB4"/>
    <w:rsid w:val="00AD2DD4"/>
    <w:rsid w:val="00AD31EB"/>
    <w:rsid w:val="00AD3EB2"/>
    <w:rsid w:val="00AE06FB"/>
    <w:rsid w:val="00AE1A17"/>
    <w:rsid w:val="00AE237B"/>
    <w:rsid w:val="00AE31D4"/>
    <w:rsid w:val="00AE363B"/>
    <w:rsid w:val="00AE422E"/>
    <w:rsid w:val="00AE6D2F"/>
    <w:rsid w:val="00AE70EC"/>
    <w:rsid w:val="00AE7B1F"/>
    <w:rsid w:val="00AF1BA1"/>
    <w:rsid w:val="00AF2C0C"/>
    <w:rsid w:val="00B01ACF"/>
    <w:rsid w:val="00B025D6"/>
    <w:rsid w:val="00B04C48"/>
    <w:rsid w:val="00B10695"/>
    <w:rsid w:val="00B10897"/>
    <w:rsid w:val="00B10C9B"/>
    <w:rsid w:val="00B13701"/>
    <w:rsid w:val="00B13EAC"/>
    <w:rsid w:val="00B14784"/>
    <w:rsid w:val="00B147F0"/>
    <w:rsid w:val="00B14CD9"/>
    <w:rsid w:val="00B14F6E"/>
    <w:rsid w:val="00B2189D"/>
    <w:rsid w:val="00B22EB8"/>
    <w:rsid w:val="00B23386"/>
    <w:rsid w:val="00B2365D"/>
    <w:rsid w:val="00B25F28"/>
    <w:rsid w:val="00B262F8"/>
    <w:rsid w:val="00B2676E"/>
    <w:rsid w:val="00B27714"/>
    <w:rsid w:val="00B30ED4"/>
    <w:rsid w:val="00B33EEC"/>
    <w:rsid w:val="00B342A9"/>
    <w:rsid w:val="00B34C6A"/>
    <w:rsid w:val="00B35CD6"/>
    <w:rsid w:val="00B4376A"/>
    <w:rsid w:val="00B4377D"/>
    <w:rsid w:val="00B437AB"/>
    <w:rsid w:val="00B46574"/>
    <w:rsid w:val="00B53E96"/>
    <w:rsid w:val="00B55896"/>
    <w:rsid w:val="00B57664"/>
    <w:rsid w:val="00B576BB"/>
    <w:rsid w:val="00B60C24"/>
    <w:rsid w:val="00B6145D"/>
    <w:rsid w:val="00B62981"/>
    <w:rsid w:val="00B64140"/>
    <w:rsid w:val="00B729E5"/>
    <w:rsid w:val="00B738EE"/>
    <w:rsid w:val="00B74E15"/>
    <w:rsid w:val="00B75BBB"/>
    <w:rsid w:val="00B77C03"/>
    <w:rsid w:val="00B81D97"/>
    <w:rsid w:val="00B82766"/>
    <w:rsid w:val="00B8286B"/>
    <w:rsid w:val="00B83742"/>
    <w:rsid w:val="00B84AAF"/>
    <w:rsid w:val="00B84AF2"/>
    <w:rsid w:val="00B852B2"/>
    <w:rsid w:val="00B85EB5"/>
    <w:rsid w:val="00B85FB9"/>
    <w:rsid w:val="00B94236"/>
    <w:rsid w:val="00B944BC"/>
    <w:rsid w:val="00BA0D76"/>
    <w:rsid w:val="00BA169B"/>
    <w:rsid w:val="00BA1AD8"/>
    <w:rsid w:val="00BA27D4"/>
    <w:rsid w:val="00BA3A67"/>
    <w:rsid w:val="00BA5A3E"/>
    <w:rsid w:val="00BA6071"/>
    <w:rsid w:val="00BA6B43"/>
    <w:rsid w:val="00BA7325"/>
    <w:rsid w:val="00BB1B3D"/>
    <w:rsid w:val="00BB26CB"/>
    <w:rsid w:val="00BB3293"/>
    <w:rsid w:val="00BB3D7E"/>
    <w:rsid w:val="00BB78A9"/>
    <w:rsid w:val="00BB7E9E"/>
    <w:rsid w:val="00BC15C0"/>
    <w:rsid w:val="00BC1BCC"/>
    <w:rsid w:val="00BC206F"/>
    <w:rsid w:val="00BC2DAB"/>
    <w:rsid w:val="00BC4648"/>
    <w:rsid w:val="00BC4D7E"/>
    <w:rsid w:val="00BC610E"/>
    <w:rsid w:val="00BC6E7C"/>
    <w:rsid w:val="00BC6EE8"/>
    <w:rsid w:val="00BC7A51"/>
    <w:rsid w:val="00BD0250"/>
    <w:rsid w:val="00BD1749"/>
    <w:rsid w:val="00BD392C"/>
    <w:rsid w:val="00BD3963"/>
    <w:rsid w:val="00BD45C9"/>
    <w:rsid w:val="00BD506D"/>
    <w:rsid w:val="00BE1475"/>
    <w:rsid w:val="00BE1939"/>
    <w:rsid w:val="00BE42EA"/>
    <w:rsid w:val="00BE4990"/>
    <w:rsid w:val="00BE73D5"/>
    <w:rsid w:val="00BE7D9B"/>
    <w:rsid w:val="00BF06D5"/>
    <w:rsid w:val="00BF195D"/>
    <w:rsid w:val="00BF21B2"/>
    <w:rsid w:val="00BF41EE"/>
    <w:rsid w:val="00BF5918"/>
    <w:rsid w:val="00BF6405"/>
    <w:rsid w:val="00C004F0"/>
    <w:rsid w:val="00C00828"/>
    <w:rsid w:val="00C011C6"/>
    <w:rsid w:val="00C02B88"/>
    <w:rsid w:val="00C03190"/>
    <w:rsid w:val="00C040A4"/>
    <w:rsid w:val="00C05605"/>
    <w:rsid w:val="00C05BD6"/>
    <w:rsid w:val="00C06229"/>
    <w:rsid w:val="00C06422"/>
    <w:rsid w:val="00C076E7"/>
    <w:rsid w:val="00C07C2A"/>
    <w:rsid w:val="00C07F02"/>
    <w:rsid w:val="00C107D6"/>
    <w:rsid w:val="00C11107"/>
    <w:rsid w:val="00C12E7A"/>
    <w:rsid w:val="00C12ED5"/>
    <w:rsid w:val="00C135D2"/>
    <w:rsid w:val="00C151EA"/>
    <w:rsid w:val="00C1736D"/>
    <w:rsid w:val="00C1794E"/>
    <w:rsid w:val="00C179E0"/>
    <w:rsid w:val="00C17E90"/>
    <w:rsid w:val="00C20368"/>
    <w:rsid w:val="00C21D70"/>
    <w:rsid w:val="00C225E9"/>
    <w:rsid w:val="00C30595"/>
    <w:rsid w:val="00C32E36"/>
    <w:rsid w:val="00C34CB6"/>
    <w:rsid w:val="00C4010E"/>
    <w:rsid w:val="00C42226"/>
    <w:rsid w:val="00C4579E"/>
    <w:rsid w:val="00C503BF"/>
    <w:rsid w:val="00C50CB8"/>
    <w:rsid w:val="00C51471"/>
    <w:rsid w:val="00C516F8"/>
    <w:rsid w:val="00C5354E"/>
    <w:rsid w:val="00C54095"/>
    <w:rsid w:val="00C56BD1"/>
    <w:rsid w:val="00C604E7"/>
    <w:rsid w:val="00C60C6F"/>
    <w:rsid w:val="00C61CBE"/>
    <w:rsid w:val="00C62690"/>
    <w:rsid w:val="00C63F13"/>
    <w:rsid w:val="00C70156"/>
    <w:rsid w:val="00C7092C"/>
    <w:rsid w:val="00C714AD"/>
    <w:rsid w:val="00C73CD3"/>
    <w:rsid w:val="00C767B5"/>
    <w:rsid w:val="00C76DC5"/>
    <w:rsid w:val="00C80725"/>
    <w:rsid w:val="00C80C46"/>
    <w:rsid w:val="00C80F7B"/>
    <w:rsid w:val="00C823DF"/>
    <w:rsid w:val="00C82F6A"/>
    <w:rsid w:val="00C839FD"/>
    <w:rsid w:val="00C853C6"/>
    <w:rsid w:val="00C86C5A"/>
    <w:rsid w:val="00C86FB5"/>
    <w:rsid w:val="00C92154"/>
    <w:rsid w:val="00C92986"/>
    <w:rsid w:val="00C94936"/>
    <w:rsid w:val="00C9501C"/>
    <w:rsid w:val="00C9630F"/>
    <w:rsid w:val="00C9773C"/>
    <w:rsid w:val="00CA0CF3"/>
    <w:rsid w:val="00CA162C"/>
    <w:rsid w:val="00CA191E"/>
    <w:rsid w:val="00CA290D"/>
    <w:rsid w:val="00CA309C"/>
    <w:rsid w:val="00CA40BF"/>
    <w:rsid w:val="00CA43D1"/>
    <w:rsid w:val="00CA5336"/>
    <w:rsid w:val="00CA6273"/>
    <w:rsid w:val="00CB1D11"/>
    <w:rsid w:val="00CB23FF"/>
    <w:rsid w:val="00CB4227"/>
    <w:rsid w:val="00CB4CF0"/>
    <w:rsid w:val="00CB51D6"/>
    <w:rsid w:val="00CB630B"/>
    <w:rsid w:val="00CB69C2"/>
    <w:rsid w:val="00CB792E"/>
    <w:rsid w:val="00CC03A9"/>
    <w:rsid w:val="00CC146D"/>
    <w:rsid w:val="00CC1F2A"/>
    <w:rsid w:val="00CC1F3D"/>
    <w:rsid w:val="00CC33D3"/>
    <w:rsid w:val="00CC3D12"/>
    <w:rsid w:val="00CC527D"/>
    <w:rsid w:val="00CC75DE"/>
    <w:rsid w:val="00CC7B33"/>
    <w:rsid w:val="00CD0112"/>
    <w:rsid w:val="00CD0FB2"/>
    <w:rsid w:val="00CD1414"/>
    <w:rsid w:val="00CD1FB3"/>
    <w:rsid w:val="00CD28AD"/>
    <w:rsid w:val="00CD3A87"/>
    <w:rsid w:val="00CD4150"/>
    <w:rsid w:val="00CD4F97"/>
    <w:rsid w:val="00CD60CA"/>
    <w:rsid w:val="00CE2A07"/>
    <w:rsid w:val="00CE2C18"/>
    <w:rsid w:val="00CE387E"/>
    <w:rsid w:val="00CE46E7"/>
    <w:rsid w:val="00CF14FA"/>
    <w:rsid w:val="00CF2685"/>
    <w:rsid w:val="00CF5410"/>
    <w:rsid w:val="00D004A7"/>
    <w:rsid w:val="00D07238"/>
    <w:rsid w:val="00D074DE"/>
    <w:rsid w:val="00D1007D"/>
    <w:rsid w:val="00D11D57"/>
    <w:rsid w:val="00D13775"/>
    <w:rsid w:val="00D13899"/>
    <w:rsid w:val="00D138B3"/>
    <w:rsid w:val="00D17722"/>
    <w:rsid w:val="00D2035F"/>
    <w:rsid w:val="00D2409D"/>
    <w:rsid w:val="00D253B0"/>
    <w:rsid w:val="00D26D5F"/>
    <w:rsid w:val="00D31A79"/>
    <w:rsid w:val="00D3236C"/>
    <w:rsid w:val="00D327AB"/>
    <w:rsid w:val="00D32ECA"/>
    <w:rsid w:val="00D33223"/>
    <w:rsid w:val="00D33B55"/>
    <w:rsid w:val="00D354B6"/>
    <w:rsid w:val="00D41B24"/>
    <w:rsid w:val="00D430CF"/>
    <w:rsid w:val="00D43ADF"/>
    <w:rsid w:val="00D57C54"/>
    <w:rsid w:val="00D6041F"/>
    <w:rsid w:val="00D63B3F"/>
    <w:rsid w:val="00D646BC"/>
    <w:rsid w:val="00D649D3"/>
    <w:rsid w:val="00D67BA7"/>
    <w:rsid w:val="00D70429"/>
    <w:rsid w:val="00D71A5E"/>
    <w:rsid w:val="00D71A8E"/>
    <w:rsid w:val="00D722E3"/>
    <w:rsid w:val="00D72533"/>
    <w:rsid w:val="00D72883"/>
    <w:rsid w:val="00D7483C"/>
    <w:rsid w:val="00D75C01"/>
    <w:rsid w:val="00D7793E"/>
    <w:rsid w:val="00D77EEE"/>
    <w:rsid w:val="00D83970"/>
    <w:rsid w:val="00D83AD0"/>
    <w:rsid w:val="00D84E62"/>
    <w:rsid w:val="00D84F99"/>
    <w:rsid w:val="00D84FD0"/>
    <w:rsid w:val="00D853A6"/>
    <w:rsid w:val="00D85889"/>
    <w:rsid w:val="00D8702E"/>
    <w:rsid w:val="00D873C7"/>
    <w:rsid w:val="00D87470"/>
    <w:rsid w:val="00D87BA6"/>
    <w:rsid w:val="00D87BE0"/>
    <w:rsid w:val="00D903A0"/>
    <w:rsid w:val="00D90B5B"/>
    <w:rsid w:val="00D9360F"/>
    <w:rsid w:val="00D93690"/>
    <w:rsid w:val="00D9448C"/>
    <w:rsid w:val="00D94550"/>
    <w:rsid w:val="00D94DCC"/>
    <w:rsid w:val="00D9597C"/>
    <w:rsid w:val="00DA0D6A"/>
    <w:rsid w:val="00DA1438"/>
    <w:rsid w:val="00DA596C"/>
    <w:rsid w:val="00DA66F1"/>
    <w:rsid w:val="00DB1164"/>
    <w:rsid w:val="00DB1B35"/>
    <w:rsid w:val="00DB2BB7"/>
    <w:rsid w:val="00DB6397"/>
    <w:rsid w:val="00DB64F7"/>
    <w:rsid w:val="00DB7089"/>
    <w:rsid w:val="00DB7CF4"/>
    <w:rsid w:val="00DB7FC7"/>
    <w:rsid w:val="00DC1089"/>
    <w:rsid w:val="00DC3CE5"/>
    <w:rsid w:val="00DC4654"/>
    <w:rsid w:val="00DC4BA1"/>
    <w:rsid w:val="00DC558A"/>
    <w:rsid w:val="00DC720D"/>
    <w:rsid w:val="00DD285D"/>
    <w:rsid w:val="00DD476F"/>
    <w:rsid w:val="00DD522D"/>
    <w:rsid w:val="00DD64C1"/>
    <w:rsid w:val="00DD666F"/>
    <w:rsid w:val="00DD68A5"/>
    <w:rsid w:val="00DD71E4"/>
    <w:rsid w:val="00DE282E"/>
    <w:rsid w:val="00DE3987"/>
    <w:rsid w:val="00DE5A23"/>
    <w:rsid w:val="00DE5EC4"/>
    <w:rsid w:val="00DE7AF0"/>
    <w:rsid w:val="00DF0A6D"/>
    <w:rsid w:val="00DF1783"/>
    <w:rsid w:val="00DF28A6"/>
    <w:rsid w:val="00DF29D0"/>
    <w:rsid w:val="00DF2BD6"/>
    <w:rsid w:val="00DF37E7"/>
    <w:rsid w:val="00DF38E5"/>
    <w:rsid w:val="00DF71AD"/>
    <w:rsid w:val="00DF76B4"/>
    <w:rsid w:val="00E00A18"/>
    <w:rsid w:val="00E01429"/>
    <w:rsid w:val="00E028F3"/>
    <w:rsid w:val="00E0308E"/>
    <w:rsid w:val="00E03F36"/>
    <w:rsid w:val="00E05B41"/>
    <w:rsid w:val="00E06380"/>
    <w:rsid w:val="00E107D7"/>
    <w:rsid w:val="00E1216F"/>
    <w:rsid w:val="00E14E87"/>
    <w:rsid w:val="00E150FD"/>
    <w:rsid w:val="00E15570"/>
    <w:rsid w:val="00E21C33"/>
    <w:rsid w:val="00E26A97"/>
    <w:rsid w:val="00E26DF8"/>
    <w:rsid w:val="00E30307"/>
    <w:rsid w:val="00E30661"/>
    <w:rsid w:val="00E322DE"/>
    <w:rsid w:val="00E3273E"/>
    <w:rsid w:val="00E32884"/>
    <w:rsid w:val="00E36437"/>
    <w:rsid w:val="00E366D8"/>
    <w:rsid w:val="00E36F98"/>
    <w:rsid w:val="00E42D0D"/>
    <w:rsid w:val="00E42ED1"/>
    <w:rsid w:val="00E43240"/>
    <w:rsid w:val="00E4365E"/>
    <w:rsid w:val="00E43980"/>
    <w:rsid w:val="00E45310"/>
    <w:rsid w:val="00E469B7"/>
    <w:rsid w:val="00E508ED"/>
    <w:rsid w:val="00E51179"/>
    <w:rsid w:val="00E51B50"/>
    <w:rsid w:val="00E5352D"/>
    <w:rsid w:val="00E53793"/>
    <w:rsid w:val="00E53FAE"/>
    <w:rsid w:val="00E54672"/>
    <w:rsid w:val="00E549F2"/>
    <w:rsid w:val="00E55736"/>
    <w:rsid w:val="00E5610E"/>
    <w:rsid w:val="00E563B4"/>
    <w:rsid w:val="00E60110"/>
    <w:rsid w:val="00E61A96"/>
    <w:rsid w:val="00E6235F"/>
    <w:rsid w:val="00E62E06"/>
    <w:rsid w:val="00E66516"/>
    <w:rsid w:val="00E667F8"/>
    <w:rsid w:val="00E70214"/>
    <w:rsid w:val="00E716EF"/>
    <w:rsid w:val="00E72407"/>
    <w:rsid w:val="00E739EB"/>
    <w:rsid w:val="00E750A9"/>
    <w:rsid w:val="00E82745"/>
    <w:rsid w:val="00E846FB"/>
    <w:rsid w:val="00E902D2"/>
    <w:rsid w:val="00E926F2"/>
    <w:rsid w:val="00E92B35"/>
    <w:rsid w:val="00E95015"/>
    <w:rsid w:val="00E96388"/>
    <w:rsid w:val="00E963C3"/>
    <w:rsid w:val="00E96AF5"/>
    <w:rsid w:val="00E96C23"/>
    <w:rsid w:val="00E97A9B"/>
    <w:rsid w:val="00EA2BCC"/>
    <w:rsid w:val="00EA4F63"/>
    <w:rsid w:val="00EA6FD4"/>
    <w:rsid w:val="00EA749D"/>
    <w:rsid w:val="00EB0B4E"/>
    <w:rsid w:val="00EB0DF8"/>
    <w:rsid w:val="00EB43DB"/>
    <w:rsid w:val="00EB4CFB"/>
    <w:rsid w:val="00EB6020"/>
    <w:rsid w:val="00EC0486"/>
    <w:rsid w:val="00EC186C"/>
    <w:rsid w:val="00EC2E02"/>
    <w:rsid w:val="00EC632B"/>
    <w:rsid w:val="00EC6E04"/>
    <w:rsid w:val="00EC709C"/>
    <w:rsid w:val="00ED05F3"/>
    <w:rsid w:val="00ED1178"/>
    <w:rsid w:val="00ED15E8"/>
    <w:rsid w:val="00ED19BB"/>
    <w:rsid w:val="00ED1BDE"/>
    <w:rsid w:val="00ED1DAB"/>
    <w:rsid w:val="00ED4727"/>
    <w:rsid w:val="00ED50EB"/>
    <w:rsid w:val="00EE0410"/>
    <w:rsid w:val="00EE0708"/>
    <w:rsid w:val="00EE4672"/>
    <w:rsid w:val="00EE4F35"/>
    <w:rsid w:val="00EE607A"/>
    <w:rsid w:val="00EF1E28"/>
    <w:rsid w:val="00EF22A4"/>
    <w:rsid w:val="00EF3B35"/>
    <w:rsid w:val="00EF484E"/>
    <w:rsid w:val="00EF4B86"/>
    <w:rsid w:val="00EF5964"/>
    <w:rsid w:val="00EF7178"/>
    <w:rsid w:val="00F014CB"/>
    <w:rsid w:val="00F021A8"/>
    <w:rsid w:val="00F07F32"/>
    <w:rsid w:val="00F13132"/>
    <w:rsid w:val="00F13D99"/>
    <w:rsid w:val="00F15DE8"/>
    <w:rsid w:val="00F16341"/>
    <w:rsid w:val="00F16E3F"/>
    <w:rsid w:val="00F20347"/>
    <w:rsid w:val="00F21AB6"/>
    <w:rsid w:val="00F22C1A"/>
    <w:rsid w:val="00F24B04"/>
    <w:rsid w:val="00F24E41"/>
    <w:rsid w:val="00F25D84"/>
    <w:rsid w:val="00F31047"/>
    <w:rsid w:val="00F31424"/>
    <w:rsid w:val="00F31A00"/>
    <w:rsid w:val="00F32975"/>
    <w:rsid w:val="00F35F66"/>
    <w:rsid w:val="00F372A5"/>
    <w:rsid w:val="00F37E0F"/>
    <w:rsid w:val="00F37EBF"/>
    <w:rsid w:val="00F41AC0"/>
    <w:rsid w:val="00F427AF"/>
    <w:rsid w:val="00F42F54"/>
    <w:rsid w:val="00F453D9"/>
    <w:rsid w:val="00F46D3F"/>
    <w:rsid w:val="00F47289"/>
    <w:rsid w:val="00F50A13"/>
    <w:rsid w:val="00F511F7"/>
    <w:rsid w:val="00F5585E"/>
    <w:rsid w:val="00F56F6D"/>
    <w:rsid w:val="00F57A8A"/>
    <w:rsid w:val="00F60FBF"/>
    <w:rsid w:val="00F60FF6"/>
    <w:rsid w:val="00F61BCA"/>
    <w:rsid w:val="00F6369C"/>
    <w:rsid w:val="00F6528F"/>
    <w:rsid w:val="00F654B8"/>
    <w:rsid w:val="00F65ACE"/>
    <w:rsid w:val="00F664B6"/>
    <w:rsid w:val="00F70981"/>
    <w:rsid w:val="00F70E53"/>
    <w:rsid w:val="00F71F6A"/>
    <w:rsid w:val="00F73500"/>
    <w:rsid w:val="00F74065"/>
    <w:rsid w:val="00F75441"/>
    <w:rsid w:val="00F81DE8"/>
    <w:rsid w:val="00F84407"/>
    <w:rsid w:val="00F85A15"/>
    <w:rsid w:val="00F85C70"/>
    <w:rsid w:val="00F91C8A"/>
    <w:rsid w:val="00F923ED"/>
    <w:rsid w:val="00F9334A"/>
    <w:rsid w:val="00F94180"/>
    <w:rsid w:val="00F95863"/>
    <w:rsid w:val="00F96687"/>
    <w:rsid w:val="00F96FF8"/>
    <w:rsid w:val="00FA0562"/>
    <w:rsid w:val="00FA121C"/>
    <w:rsid w:val="00FA167C"/>
    <w:rsid w:val="00FA2DC1"/>
    <w:rsid w:val="00FA41BE"/>
    <w:rsid w:val="00FA4360"/>
    <w:rsid w:val="00FA5620"/>
    <w:rsid w:val="00FA5ECC"/>
    <w:rsid w:val="00FA74F3"/>
    <w:rsid w:val="00FA7AD9"/>
    <w:rsid w:val="00FA7BF7"/>
    <w:rsid w:val="00FB011B"/>
    <w:rsid w:val="00FB1962"/>
    <w:rsid w:val="00FB20F3"/>
    <w:rsid w:val="00FB29CA"/>
    <w:rsid w:val="00FB4663"/>
    <w:rsid w:val="00FB4893"/>
    <w:rsid w:val="00FB53E5"/>
    <w:rsid w:val="00FB7822"/>
    <w:rsid w:val="00FC1307"/>
    <w:rsid w:val="00FC22A9"/>
    <w:rsid w:val="00FC3076"/>
    <w:rsid w:val="00FC45D6"/>
    <w:rsid w:val="00FC4DCD"/>
    <w:rsid w:val="00FC5D23"/>
    <w:rsid w:val="00FD5238"/>
    <w:rsid w:val="00FD5F4D"/>
    <w:rsid w:val="00FE01A1"/>
    <w:rsid w:val="00FE1FBA"/>
    <w:rsid w:val="00FE3EFB"/>
    <w:rsid w:val="00FE461B"/>
    <w:rsid w:val="00FE6643"/>
    <w:rsid w:val="00FF09C2"/>
    <w:rsid w:val="00FF20ED"/>
    <w:rsid w:val="00FF3971"/>
    <w:rsid w:val="00FF46BF"/>
    <w:rsid w:val="00FF644C"/>
    <w:rsid w:val="00FF6F8F"/>
    <w:rsid w:val="00FF79F0"/>
    <w:rsid w:val="2FDF968A"/>
    <w:rsid w:val="519B5A91"/>
    <w:rsid w:val="5C193C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A120A3"/>
  <w15:docId w15:val="{D2FEC8D0-5BB1-4E3A-B86D-FE00199B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uiPriority w:val="39"/>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列出段落"/>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link w:val="CharChar6CharCharCharCharCharChar"/>
    <w:qFormat/>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fn"/>
    <w:basedOn w:val="Normal"/>
    <w:link w:val="FootnoteTextChar"/>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qFormat/>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semiHidden/>
    <w:rsid w:val="00A277A6"/>
    <w:rPr>
      <w:sz w:val="16"/>
      <w:szCs w:val="16"/>
    </w:rPr>
  </w:style>
  <w:style w:type="paragraph" w:styleId="CommentText">
    <w:name w:val="annotation text"/>
    <w:basedOn w:val="Normal"/>
    <w:link w:val="CommentTextChar"/>
    <w:rsid w:val="00A277A6"/>
    <w:rPr>
      <w:sz w:val="20"/>
      <w:szCs w:val="20"/>
    </w:rPr>
  </w:style>
  <w:style w:type="character" w:customStyle="1" w:styleId="CommentTextChar">
    <w:name w:val="Comment Text Char"/>
    <w:basedOn w:val="DefaultParagraphFont"/>
    <w:link w:val="CommentText"/>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iPriority w:val="99"/>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06698B"/>
    <w:pPr>
      <w:tabs>
        <w:tab w:val="center" w:pos="4513"/>
        <w:tab w:val="right" w:pos="9026"/>
      </w:tabs>
    </w:pPr>
  </w:style>
  <w:style w:type="character" w:customStyle="1" w:styleId="HeaderChar">
    <w:name w:val="Header Char"/>
    <w:basedOn w:val="DefaultParagraphFont"/>
    <w:link w:val="Header"/>
    <w:uiPriority w:val="99"/>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paragraph" w:customStyle="1" w:styleId="ContentinTable">
    <w:name w:val="Content in Table"/>
    <w:basedOn w:val="Normal"/>
    <w:uiPriority w:val="99"/>
    <w:qFormat/>
    <w:rsid w:val="00F453D9"/>
    <w:pPr>
      <w:autoSpaceDE w:val="0"/>
      <w:autoSpaceDN w:val="0"/>
      <w:adjustRightInd w:val="0"/>
      <w:spacing w:before="120" w:after="240" w:line="276" w:lineRule="auto"/>
      <w:ind w:right="57"/>
      <w:jc w:val="both"/>
    </w:pPr>
    <w:rPr>
      <w:rFonts w:eastAsia="Calibri"/>
      <w:sz w:val="28"/>
      <w:lang w:val="en-SG"/>
    </w:rPr>
  </w:style>
  <w:style w:type="character" w:customStyle="1" w:styleId="s11">
    <w:name w:val="s11"/>
    <w:basedOn w:val="DefaultParagraphFont"/>
    <w:rsid w:val="00B10C9B"/>
  </w:style>
  <w:style w:type="paragraph" w:customStyle="1" w:styleId="wordsection1">
    <w:name w:val="wordsection1"/>
    <w:basedOn w:val="Normal"/>
    <w:link w:val="wordsection1Char"/>
    <w:uiPriority w:val="99"/>
    <w:rsid w:val="00A765F2"/>
    <w:rPr>
      <w:rFonts w:eastAsiaTheme="minorHAnsi"/>
      <w:lang w:val="en-SG" w:eastAsia="ja-JP"/>
    </w:rPr>
  </w:style>
  <w:style w:type="character" w:customStyle="1" w:styleId="wordsection1Char">
    <w:name w:val="wordsection1 Char"/>
    <w:basedOn w:val="DefaultParagraphFont"/>
    <w:link w:val="wordsection1"/>
    <w:uiPriority w:val="99"/>
    <w:locked/>
    <w:rsid w:val="00A765F2"/>
    <w:rPr>
      <w:rFonts w:ascii="Times New Roman" w:eastAsiaTheme="minorHAnsi" w:hAnsi="Times New Roman"/>
      <w:sz w:val="24"/>
      <w:szCs w:val="24"/>
      <w:lang w:eastAsia="ja-JP"/>
    </w:rPr>
  </w:style>
  <w:style w:type="paragraph" w:customStyle="1" w:styleId="cTextList1">
    <w:name w:val="c. Text List 1"/>
    <w:basedOn w:val="Normal"/>
    <w:uiPriority w:val="99"/>
    <w:qFormat/>
    <w:rsid w:val="00B437AB"/>
    <w:pPr>
      <w:numPr>
        <w:numId w:val="3"/>
      </w:numPr>
      <w:tabs>
        <w:tab w:val="num" w:pos="360"/>
      </w:tabs>
      <w:spacing w:before="240"/>
      <w:ind w:left="0" w:firstLine="0"/>
      <w:jc w:val="both"/>
    </w:pPr>
    <w:rPr>
      <w:rFonts w:ascii="Arial" w:eastAsiaTheme="minorHAnsi" w:hAnsi="Arial" w:cs="Arial"/>
      <w:lang w:val="en-SG"/>
    </w:rPr>
  </w:style>
  <w:style w:type="paragraph" w:customStyle="1" w:styleId="CharChar6CharCharCharCharCharChar">
    <w:name w:val="Char Char6 Char Char Char Char Char Char"/>
    <w:aliases w:val="Char6 Char Char Char Char Char Char Char"/>
    <w:basedOn w:val="Normal"/>
    <w:link w:val="FootnoteReference"/>
    <w:rsid w:val="008079D2"/>
    <w:pPr>
      <w:spacing w:line="360" w:lineRule="auto"/>
      <w:jc w:val="center"/>
    </w:pPr>
    <w:rPr>
      <w:rFonts w:ascii="Calibri" w:eastAsia="SimSun" w:hAnsi="Calibri"/>
      <w:sz w:val="20"/>
      <w:szCs w:val="20"/>
      <w:vertAlign w:val="superscript"/>
      <w:lang w:val="en-SG" w:eastAsia="en-SG"/>
    </w:rPr>
  </w:style>
  <w:style w:type="character" w:styleId="FollowedHyperlink">
    <w:name w:val="FollowedHyperlink"/>
    <w:basedOn w:val="DefaultParagraphFont"/>
    <w:uiPriority w:val="99"/>
    <w:semiHidden/>
    <w:unhideWhenUsed/>
    <w:rsid w:val="00230380"/>
    <w:rPr>
      <w:color w:val="800080" w:themeColor="followedHyperlink"/>
      <w:u w:val="single"/>
    </w:rPr>
  </w:style>
  <w:style w:type="paragraph" w:customStyle="1" w:styleId="commentcontentpara">
    <w:name w:val="commentcontentpara"/>
    <w:basedOn w:val="Normal"/>
    <w:rsid w:val="00057DD2"/>
    <w:pPr>
      <w:spacing w:before="100" w:beforeAutospacing="1" w:after="100" w:afterAutospacing="1"/>
    </w:pPr>
    <w:rPr>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4750">
      <w:bodyDiv w:val="1"/>
      <w:marLeft w:val="0"/>
      <w:marRight w:val="0"/>
      <w:marTop w:val="0"/>
      <w:marBottom w:val="0"/>
      <w:divBdr>
        <w:top w:val="none" w:sz="0" w:space="0" w:color="auto"/>
        <w:left w:val="none" w:sz="0" w:space="0" w:color="auto"/>
        <w:bottom w:val="none" w:sz="0" w:space="0" w:color="auto"/>
        <w:right w:val="none" w:sz="0" w:space="0" w:color="auto"/>
      </w:divBdr>
    </w:div>
    <w:div w:id="264312599">
      <w:bodyDiv w:val="1"/>
      <w:marLeft w:val="0"/>
      <w:marRight w:val="0"/>
      <w:marTop w:val="0"/>
      <w:marBottom w:val="0"/>
      <w:divBdr>
        <w:top w:val="none" w:sz="0" w:space="0" w:color="auto"/>
        <w:left w:val="none" w:sz="0" w:space="0" w:color="auto"/>
        <w:bottom w:val="none" w:sz="0" w:space="0" w:color="auto"/>
        <w:right w:val="none" w:sz="0" w:space="0" w:color="auto"/>
      </w:divBdr>
    </w:div>
    <w:div w:id="334503001">
      <w:bodyDiv w:val="1"/>
      <w:marLeft w:val="0"/>
      <w:marRight w:val="0"/>
      <w:marTop w:val="0"/>
      <w:marBottom w:val="0"/>
      <w:divBdr>
        <w:top w:val="none" w:sz="0" w:space="0" w:color="auto"/>
        <w:left w:val="none" w:sz="0" w:space="0" w:color="auto"/>
        <w:bottom w:val="none" w:sz="0" w:space="0" w:color="auto"/>
        <w:right w:val="none" w:sz="0" w:space="0" w:color="auto"/>
      </w:divBdr>
    </w:div>
    <w:div w:id="376511205">
      <w:bodyDiv w:val="1"/>
      <w:marLeft w:val="0"/>
      <w:marRight w:val="0"/>
      <w:marTop w:val="0"/>
      <w:marBottom w:val="0"/>
      <w:divBdr>
        <w:top w:val="none" w:sz="0" w:space="0" w:color="auto"/>
        <w:left w:val="none" w:sz="0" w:space="0" w:color="auto"/>
        <w:bottom w:val="none" w:sz="0" w:space="0" w:color="auto"/>
        <w:right w:val="none" w:sz="0" w:space="0" w:color="auto"/>
      </w:divBdr>
      <w:divsChild>
        <w:div w:id="144511178">
          <w:marLeft w:val="0"/>
          <w:marRight w:val="0"/>
          <w:marTop w:val="0"/>
          <w:marBottom w:val="0"/>
          <w:divBdr>
            <w:top w:val="none" w:sz="0" w:space="0" w:color="auto"/>
            <w:left w:val="none" w:sz="0" w:space="0" w:color="auto"/>
            <w:bottom w:val="none" w:sz="0" w:space="0" w:color="auto"/>
            <w:right w:val="none" w:sz="0" w:space="0" w:color="auto"/>
          </w:divBdr>
          <w:divsChild>
            <w:div w:id="38405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095318">
      <w:bodyDiv w:val="1"/>
      <w:marLeft w:val="0"/>
      <w:marRight w:val="0"/>
      <w:marTop w:val="0"/>
      <w:marBottom w:val="0"/>
      <w:divBdr>
        <w:top w:val="none" w:sz="0" w:space="0" w:color="auto"/>
        <w:left w:val="none" w:sz="0" w:space="0" w:color="auto"/>
        <w:bottom w:val="none" w:sz="0" w:space="0" w:color="auto"/>
        <w:right w:val="none" w:sz="0" w:space="0" w:color="auto"/>
      </w:divBdr>
    </w:div>
    <w:div w:id="823811632">
      <w:bodyDiv w:val="1"/>
      <w:marLeft w:val="0"/>
      <w:marRight w:val="0"/>
      <w:marTop w:val="0"/>
      <w:marBottom w:val="0"/>
      <w:divBdr>
        <w:top w:val="none" w:sz="0" w:space="0" w:color="auto"/>
        <w:left w:val="none" w:sz="0" w:space="0" w:color="auto"/>
        <w:bottom w:val="none" w:sz="0" w:space="0" w:color="auto"/>
        <w:right w:val="none" w:sz="0" w:space="0" w:color="auto"/>
      </w:divBdr>
    </w:div>
    <w:div w:id="921571491">
      <w:bodyDiv w:val="1"/>
      <w:marLeft w:val="0"/>
      <w:marRight w:val="0"/>
      <w:marTop w:val="0"/>
      <w:marBottom w:val="0"/>
      <w:divBdr>
        <w:top w:val="none" w:sz="0" w:space="0" w:color="auto"/>
        <w:left w:val="none" w:sz="0" w:space="0" w:color="auto"/>
        <w:bottom w:val="none" w:sz="0" w:space="0" w:color="auto"/>
        <w:right w:val="none" w:sz="0" w:space="0" w:color="auto"/>
      </w:divBdr>
    </w:div>
    <w:div w:id="1306471806">
      <w:bodyDiv w:val="1"/>
      <w:marLeft w:val="0"/>
      <w:marRight w:val="0"/>
      <w:marTop w:val="0"/>
      <w:marBottom w:val="0"/>
      <w:divBdr>
        <w:top w:val="none" w:sz="0" w:space="0" w:color="auto"/>
        <w:left w:val="none" w:sz="0" w:space="0" w:color="auto"/>
        <w:bottom w:val="none" w:sz="0" w:space="0" w:color="auto"/>
        <w:right w:val="none" w:sz="0" w:space="0" w:color="auto"/>
      </w:divBdr>
    </w:div>
    <w:div w:id="1408068584">
      <w:bodyDiv w:val="1"/>
      <w:marLeft w:val="0"/>
      <w:marRight w:val="0"/>
      <w:marTop w:val="0"/>
      <w:marBottom w:val="0"/>
      <w:divBdr>
        <w:top w:val="none" w:sz="0" w:space="0" w:color="auto"/>
        <w:left w:val="none" w:sz="0" w:space="0" w:color="auto"/>
        <w:bottom w:val="none" w:sz="0" w:space="0" w:color="auto"/>
        <w:right w:val="none" w:sz="0" w:space="0" w:color="auto"/>
      </w:divBdr>
    </w:div>
    <w:div w:id="1621381346">
      <w:bodyDiv w:val="1"/>
      <w:marLeft w:val="0"/>
      <w:marRight w:val="0"/>
      <w:marTop w:val="0"/>
      <w:marBottom w:val="0"/>
      <w:divBdr>
        <w:top w:val="none" w:sz="0" w:space="0" w:color="auto"/>
        <w:left w:val="none" w:sz="0" w:space="0" w:color="auto"/>
        <w:bottom w:val="none" w:sz="0" w:space="0" w:color="auto"/>
        <w:right w:val="none" w:sz="0" w:space="0" w:color="auto"/>
      </w:divBdr>
    </w:div>
    <w:div w:id="1662466150">
      <w:bodyDiv w:val="1"/>
      <w:marLeft w:val="0"/>
      <w:marRight w:val="0"/>
      <w:marTop w:val="0"/>
      <w:marBottom w:val="0"/>
      <w:divBdr>
        <w:top w:val="none" w:sz="0" w:space="0" w:color="auto"/>
        <w:left w:val="none" w:sz="0" w:space="0" w:color="auto"/>
        <w:bottom w:val="none" w:sz="0" w:space="0" w:color="auto"/>
        <w:right w:val="none" w:sz="0" w:space="0" w:color="auto"/>
      </w:divBdr>
    </w:div>
    <w:div w:id="1699617517">
      <w:bodyDiv w:val="1"/>
      <w:marLeft w:val="0"/>
      <w:marRight w:val="0"/>
      <w:marTop w:val="0"/>
      <w:marBottom w:val="0"/>
      <w:divBdr>
        <w:top w:val="none" w:sz="0" w:space="0" w:color="auto"/>
        <w:left w:val="none" w:sz="0" w:space="0" w:color="auto"/>
        <w:bottom w:val="none" w:sz="0" w:space="0" w:color="auto"/>
        <w:right w:val="none" w:sz="0" w:space="0" w:color="auto"/>
      </w:divBdr>
    </w:div>
    <w:div w:id="1721780336">
      <w:bodyDiv w:val="1"/>
      <w:marLeft w:val="0"/>
      <w:marRight w:val="0"/>
      <w:marTop w:val="0"/>
      <w:marBottom w:val="0"/>
      <w:divBdr>
        <w:top w:val="none" w:sz="0" w:space="0" w:color="auto"/>
        <w:left w:val="none" w:sz="0" w:space="0" w:color="auto"/>
        <w:bottom w:val="none" w:sz="0" w:space="0" w:color="auto"/>
        <w:right w:val="none" w:sz="0" w:space="0" w:color="auto"/>
      </w:divBdr>
      <w:divsChild>
        <w:div w:id="1977877527">
          <w:marLeft w:val="0"/>
          <w:marRight w:val="0"/>
          <w:marTop w:val="0"/>
          <w:marBottom w:val="0"/>
          <w:divBdr>
            <w:top w:val="none" w:sz="0" w:space="0" w:color="auto"/>
            <w:left w:val="none" w:sz="0" w:space="0" w:color="auto"/>
            <w:bottom w:val="none" w:sz="0" w:space="0" w:color="auto"/>
            <w:right w:val="none" w:sz="0" w:space="0" w:color="auto"/>
          </w:divBdr>
        </w:div>
      </w:divsChild>
    </w:div>
    <w:div w:id="1812288720">
      <w:bodyDiv w:val="1"/>
      <w:marLeft w:val="0"/>
      <w:marRight w:val="0"/>
      <w:marTop w:val="0"/>
      <w:marBottom w:val="0"/>
      <w:divBdr>
        <w:top w:val="none" w:sz="0" w:space="0" w:color="auto"/>
        <w:left w:val="none" w:sz="0" w:space="0" w:color="auto"/>
        <w:bottom w:val="none" w:sz="0" w:space="0" w:color="auto"/>
        <w:right w:val="none" w:sz="0" w:space="0" w:color="auto"/>
      </w:divBdr>
    </w:div>
    <w:div w:id="213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1" ma:contentTypeDescription="Create a new document." ma:contentTypeScope="" ma:versionID="8fe52933b3ebacac5f31de0a618ccd0c">
  <xsd:schema xmlns:xsd="http://www.w3.org/2001/XMLSchema" xmlns:xs="http://www.w3.org/2001/XMLSchema" xmlns:p="http://schemas.microsoft.com/office/2006/metadata/properties" xmlns:ns2="0e9ac558-c7df-44df-83a9-fb0c941bca6b" targetNamespace="http://schemas.microsoft.com/office/2006/metadata/properties" ma:root="true" ma:fieldsID="7c863b536afafc7ad2c2259c6a9ff8f6" ns2:_="">
    <xsd:import namespace="0e9ac558-c7df-44df-83a9-fb0c941bca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c558-c7df-44df-83a9-fb0c941bca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0e9ac558-c7df-44df-83a9-fb0c941bca6b">
      <UserInfo>
        <DisplayName>Pei Lin CHAN (MOF)</DisplayName>
        <AccountId>562</AccountId>
        <AccountType/>
      </UserInfo>
      <UserInfo>
        <DisplayName>Kenny YEOH (MOF)</DisplayName>
        <AccountId>563</AccountId>
        <AccountType/>
      </UserInfo>
      <UserInfo>
        <DisplayName>Si Ying TAN (MOF)</DisplayName>
        <AccountId>447</AccountId>
        <AccountType/>
      </UserInfo>
      <UserInfo>
        <DisplayName>Jasper WONG (MOF)</DisplayName>
        <AccountId>560</AccountId>
        <AccountType/>
      </UserInfo>
      <UserInfo>
        <DisplayName>Genevieve LEE (MOF)</DisplayName>
        <AccountId>561</AccountId>
        <AccountType/>
      </UserInfo>
      <UserInfo>
        <DisplayName>Sandra YONG (MOF)</DisplayName>
        <AccountId>608</AccountId>
        <AccountType/>
      </UserInfo>
      <UserInfo>
        <DisplayName>Tricia CHIU (MOF)</DisplayName>
        <AccountId>668</AccountId>
        <AccountType/>
      </UserInfo>
      <UserInfo>
        <DisplayName>Farah ABDUL RAHIM (MOF)</DisplayName>
        <AccountId>670</AccountId>
        <AccountType/>
      </UserInfo>
      <UserInfo>
        <DisplayName>Doreen TAN (MOF)</DisplayName>
        <AccountId>511</AccountId>
        <AccountType/>
      </UserInfo>
      <UserInfo>
        <DisplayName>Louis NG (MOF)</DisplayName>
        <AccountId>602</AccountId>
        <AccountType/>
      </UserInfo>
      <UserInfo>
        <DisplayName>Wendy LEO (MOF)</DisplayName>
        <AccountId>573</AccountId>
        <AccountType/>
      </UserInfo>
      <UserInfo>
        <DisplayName>Yuxian HONG (MOF)</DisplayName>
        <AccountId>605</AccountId>
        <AccountType/>
      </UserInfo>
      <UserInfo>
        <DisplayName>Fadhila TALIB (MOF)</DisplayName>
        <AccountId>152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C5383-428D-46AF-BE61-2E1BD71E3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c558-c7df-44df-83a9-fb0c941bc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72D06-B4C1-4E02-B523-032CA36EC8DF}">
  <ds:schemaRefs>
    <ds:schemaRef ds:uri="http://schemas.openxmlformats.org/officeDocument/2006/bibliography"/>
  </ds:schemaRefs>
</ds:datastoreItem>
</file>

<file path=customXml/itemProps3.xml><?xml version="1.0" encoding="utf-8"?>
<ds:datastoreItem xmlns:ds="http://schemas.openxmlformats.org/officeDocument/2006/customXml" ds:itemID="{888614FD-4BD7-46E9-AF9F-8F330D6EEC37}">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0e9ac558-c7df-44df-83a9-fb0c941bca6b"/>
    <ds:schemaRef ds:uri="http://www.w3.org/XML/1998/namespace"/>
  </ds:schemaRefs>
</ds:datastoreItem>
</file>

<file path=customXml/itemProps4.xml><?xml version="1.0" encoding="utf-8"?>
<ds:datastoreItem xmlns:ds="http://schemas.openxmlformats.org/officeDocument/2006/customXml" ds:itemID="{C62E244A-0F09-4597-A330-A4C841DF2F2B}">
  <ds:schemaRefs>
    <ds:schemaRef ds:uri="http://schemas.openxmlformats.org/officeDocument/2006/bibliography"/>
  </ds:schemaRefs>
</ds:datastoreItem>
</file>

<file path=customXml/itemProps5.xml><?xml version="1.0" encoding="utf-8"?>
<ds:datastoreItem xmlns:ds="http://schemas.openxmlformats.org/officeDocument/2006/customXml" ds:itemID="{5EECF40A-BFDB-417E-B8A3-7F3F3409F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 Ping TAN (MOF)</dc:creator>
  <cp:lastModifiedBy>Si Hui LEE (MOF)</cp:lastModifiedBy>
  <cp:revision>2</cp:revision>
  <cp:lastPrinted>2015-06-17T07:20:00Z</cp:lastPrinted>
  <dcterms:created xsi:type="dcterms:W3CDTF">2022-06-03T15:43:00Z</dcterms:created>
  <dcterms:modified xsi:type="dcterms:W3CDTF">2022-06-03T15:43:00Z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y fmtid="{D5CDD505-2E9C-101B-9397-08002B2CF9AE}" pid="3" name="MSIP_Label_4f288355-fb4c-44cd-b9ca-40cfc2aee5f8_Enabled">
    <vt:lpwstr>true</vt:lpwstr>
  </property>
  <property fmtid="{D5CDD505-2E9C-101B-9397-08002B2CF9AE}" pid="4" name="MSIP_Label_4f288355-fb4c-44cd-b9ca-40cfc2aee5f8_SetDate">
    <vt:lpwstr>2022-05-10T01:51:06Z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0e827037-3272-42c8-8dfe-c1a694f72d86</vt:lpwstr>
  </property>
  <property fmtid="{D5CDD505-2E9C-101B-9397-08002B2CF9AE}" pid="9" name="MSIP_Label_4f288355-fb4c-44cd-b9ca-40cfc2aee5f8_ContentBits">
    <vt:lpwstr>0</vt:lpwstr>
  </property>
</Properties>
</file>