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836A6" w14:textId="34C5ED1C" w:rsidR="009F6F25" w:rsidRDefault="009F6F25" w:rsidP="009F6F25">
      <w:pPr>
        <w:pStyle w:val="ListParagraph"/>
        <w:spacing w:after="0" w:line="240" w:lineRule="auto"/>
        <w:ind w:left="0"/>
        <w:jc w:val="right"/>
        <w:rPr>
          <w:rFonts w:ascii="Arial" w:eastAsia="Times New Roman" w:hAnsi="Arial" w:cs="Arial"/>
          <w:b/>
          <w:caps/>
          <w:lang w:val="en-GB" w:eastAsia="en-GB"/>
        </w:rPr>
      </w:pPr>
      <w:r>
        <w:rPr>
          <w:rFonts w:ascii="Arial" w:eastAsia="Times New Roman" w:hAnsi="Arial" w:cs="Arial"/>
          <w:b/>
          <w:caps/>
          <w:lang w:val="en-GB" w:eastAsia="en-GB"/>
        </w:rPr>
        <w:t>Annex A</w:t>
      </w:r>
    </w:p>
    <w:p w14:paraId="28262311" w14:textId="77777777" w:rsidR="009F6F25" w:rsidRDefault="009F6F25" w:rsidP="009F6F25">
      <w:pPr>
        <w:pStyle w:val="ListParagraph"/>
        <w:spacing w:after="0" w:line="240" w:lineRule="auto"/>
        <w:ind w:left="0"/>
        <w:jc w:val="right"/>
        <w:rPr>
          <w:rFonts w:ascii="Arial" w:eastAsia="Times New Roman" w:hAnsi="Arial" w:cs="Arial"/>
          <w:b/>
          <w:caps/>
          <w:lang w:val="en-GB" w:eastAsia="en-GB"/>
        </w:rPr>
      </w:pPr>
    </w:p>
    <w:p w14:paraId="35A60AC6" w14:textId="77777777" w:rsidR="00256622" w:rsidRDefault="00256622" w:rsidP="00256622">
      <w:pPr>
        <w:autoSpaceDE w:val="0"/>
        <w:jc w:val="center"/>
        <w:rPr>
          <w:rFonts w:ascii="Arial" w:hAnsi="Arial" w:cs="Arial"/>
          <w:b/>
          <w:color w:val="000000" w:themeColor="text1"/>
          <w:lang w:val="en-GB"/>
        </w:rPr>
      </w:pPr>
      <w:r>
        <w:rPr>
          <w:rFonts w:ascii="Arial" w:hAnsi="Arial" w:cs="Arial"/>
          <w:b/>
          <w:color w:val="000000" w:themeColor="text1"/>
        </w:rPr>
        <w:t>Proposed Amendments to Customs Act in 2017</w:t>
      </w:r>
    </w:p>
    <w:p w14:paraId="2327197C" w14:textId="77777777" w:rsidR="006C2569" w:rsidRPr="0032250E" w:rsidRDefault="006C2569" w:rsidP="006C2569">
      <w:pPr>
        <w:rPr>
          <w:rFonts w:ascii="Arial" w:hAnsi="Arial" w:cs="Arial"/>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86"/>
        <w:gridCol w:w="4819"/>
        <w:gridCol w:w="5812"/>
      </w:tblGrid>
      <w:tr w:rsidR="006C2569" w:rsidRPr="0032250E" w14:paraId="6F9DA0CA" w14:textId="77777777" w:rsidTr="00D003A1">
        <w:tc>
          <w:tcPr>
            <w:tcW w:w="570" w:type="dxa"/>
            <w:shd w:val="clear" w:color="auto" w:fill="CCFFFF"/>
          </w:tcPr>
          <w:p w14:paraId="2E097A4C" w14:textId="77777777" w:rsidR="006C2569" w:rsidRPr="0032250E" w:rsidRDefault="006C2569" w:rsidP="002B49B8">
            <w:pPr>
              <w:rPr>
                <w:rFonts w:ascii="Arial" w:hAnsi="Arial" w:cs="Arial"/>
                <w:sz w:val="22"/>
                <w:szCs w:val="22"/>
              </w:rPr>
            </w:pPr>
            <w:r w:rsidRPr="0032250E">
              <w:rPr>
                <w:rFonts w:ascii="Arial" w:hAnsi="Arial" w:cs="Arial"/>
                <w:sz w:val="22"/>
                <w:szCs w:val="22"/>
              </w:rPr>
              <w:t>No.</w:t>
            </w:r>
          </w:p>
        </w:tc>
        <w:tc>
          <w:tcPr>
            <w:tcW w:w="2686" w:type="dxa"/>
            <w:shd w:val="clear" w:color="auto" w:fill="CCFFFF"/>
          </w:tcPr>
          <w:p w14:paraId="3CA57DB1" w14:textId="53972D3B" w:rsidR="006C2569" w:rsidRPr="0032250E" w:rsidRDefault="006C2569" w:rsidP="002B49B8">
            <w:pPr>
              <w:rPr>
                <w:rFonts w:ascii="Arial" w:hAnsi="Arial" w:cs="Arial"/>
                <w:sz w:val="22"/>
                <w:szCs w:val="22"/>
              </w:rPr>
            </w:pPr>
            <w:r w:rsidRPr="0032250E">
              <w:rPr>
                <w:rFonts w:ascii="Arial" w:hAnsi="Arial" w:cs="Arial"/>
                <w:sz w:val="22"/>
                <w:szCs w:val="22"/>
              </w:rPr>
              <w:t>Sections</w:t>
            </w:r>
          </w:p>
        </w:tc>
        <w:tc>
          <w:tcPr>
            <w:tcW w:w="4819" w:type="dxa"/>
            <w:shd w:val="clear" w:color="auto" w:fill="CCFFFF"/>
          </w:tcPr>
          <w:p w14:paraId="33D3BF1A" w14:textId="53645DAE" w:rsidR="006C2569" w:rsidRPr="0032250E" w:rsidRDefault="006C2569" w:rsidP="00E136CA">
            <w:pPr>
              <w:jc w:val="both"/>
              <w:rPr>
                <w:rFonts w:ascii="Arial" w:hAnsi="Arial" w:cs="Arial"/>
                <w:sz w:val="22"/>
                <w:szCs w:val="22"/>
              </w:rPr>
            </w:pPr>
            <w:r w:rsidRPr="0032250E">
              <w:rPr>
                <w:rFonts w:ascii="Arial" w:hAnsi="Arial" w:cs="Arial"/>
                <w:sz w:val="22"/>
                <w:szCs w:val="22"/>
              </w:rPr>
              <w:t xml:space="preserve">Description of </w:t>
            </w:r>
            <w:r w:rsidR="00E136CA" w:rsidRPr="0032250E">
              <w:rPr>
                <w:rFonts w:ascii="Arial" w:hAnsi="Arial" w:cs="Arial"/>
                <w:sz w:val="22"/>
                <w:szCs w:val="22"/>
              </w:rPr>
              <w:t>Provision</w:t>
            </w:r>
          </w:p>
        </w:tc>
        <w:tc>
          <w:tcPr>
            <w:tcW w:w="5812" w:type="dxa"/>
            <w:shd w:val="clear" w:color="auto" w:fill="CCFFFF"/>
          </w:tcPr>
          <w:p w14:paraId="5D570D14" w14:textId="645C0A1D" w:rsidR="006C2569" w:rsidRPr="0032250E" w:rsidRDefault="00E136CA" w:rsidP="0071416A">
            <w:pPr>
              <w:jc w:val="both"/>
              <w:rPr>
                <w:rFonts w:ascii="Arial" w:hAnsi="Arial" w:cs="Arial"/>
                <w:sz w:val="22"/>
                <w:szCs w:val="22"/>
              </w:rPr>
            </w:pPr>
            <w:r w:rsidRPr="0032250E">
              <w:rPr>
                <w:rFonts w:ascii="Arial" w:hAnsi="Arial" w:cs="Arial"/>
                <w:sz w:val="22"/>
                <w:szCs w:val="22"/>
              </w:rPr>
              <w:t xml:space="preserve">Details </w:t>
            </w:r>
            <w:r w:rsidR="0071416A" w:rsidRPr="0032250E">
              <w:rPr>
                <w:rFonts w:ascii="Arial" w:hAnsi="Arial" w:cs="Arial"/>
                <w:sz w:val="22"/>
                <w:szCs w:val="22"/>
              </w:rPr>
              <w:t xml:space="preserve">of </w:t>
            </w:r>
            <w:r w:rsidR="006C2569" w:rsidRPr="0032250E">
              <w:rPr>
                <w:rFonts w:ascii="Arial" w:hAnsi="Arial" w:cs="Arial"/>
                <w:sz w:val="22"/>
                <w:szCs w:val="22"/>
              </w:rPr>
              <w:t>Amendment</w:t>
            </w:r>
          </w:p>
        </w:tc>
      </w:tr>
      <w:tr w:rsidR="00B77877" w:rsidRPr="0032250E" w14:paraId="05476A7E" w14:textId="77777777" w:rsidTr="00D003A1">
        <w:tc>
          <w:tcPr>
            <w:tcW w:w="570" w:type="dxa"/>
          </w:tcPr>
          <w:p w14:paraId="188A3058" w14:textId="77777777" w:rsidR="00B77877" w:rsidRPr="0032250E" w:rsidRDefault="00B77877" w:rsidP="006C2569">
            <w:pPr>
              <w:pStyle w:val="ExpSectionText1"/>
              <w:numPr>
                <w:ilvl w:val="0"/>
                <w:numId w:val="1"/>
              </w:numPr>
              <w:ind w:left="284" w:hanging="142"/>
              <w:rPr>
                <w:rFonts w:ascii="Arial" w:hAnsi="Arial" w:cs="Arial"/>
                <w:szCs w:val="22"/>
              </w:rPr>
            </w:pPr>
          </w:p>
        </w:tc>
        <w:tc>
          <w:tcPr>
            <w:tcW w:w="2686" w:type="dxa"/>
          </w:tcPr>
          <w:p w14:paraId="086D6116" w14:textId="77777777" w:rsidR="00B77877" w:rsidRPr="0032250E" w:rsidRDefault="00B77877" w:rsidP="00E136CA">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 xml:space="preserve">Section 3 – Interpretation </w:t>
            </w:r>
          </w:p>
        </w:tc>
        <w:tc>
          <w:tcPr>
            <w:tcW w:w="4819" w:type="dxa"/>
          </w:tcPr>
          <w:p w14:paraId="6732368C" w14:textId="77777777" w:rsidR="00B77877" w:rsidRPr="0032250E" w:rsidRDefault="00B77877" w:rsidP="000B708F">
            <w:pPr>
              <w:tabs>
                <w:tab w:val="num" w:pos="720"/>
              </w:tabs>
              <w:autoSpaceDE w:val="0"/>
              <w:autoSpaceDN w:val="0"/>
              <w:adjustRightInd w:val="0"/>
              <w:spacing w:line="240" w:lineRule="atLeast"/>
              <w:jc w:val="both"/>
              <w:rPr>
                <w:rFonts w:ascii="Arial" w:hAnsi="Arial" w:cs="Arial"/>
                <w:sz w:val="22"/>
                <w:szCs w:val="22"/>
                <w:highlight w:val="yellow"/>
              </w:rPr>
            </w:pPr>
            <w:r w:rsidRPr="0032250E">
              <w:rPr>
                <w:rFonts w:ascii="Arial" w:hAnsi="Arial" w:cs="Arial"/>
                <w:sz w:val="22"/>
                <w:szCs w:val="22"/>
              </w:rPr>
              <w:t>Section 3(1) provides the interpretation of terms used in the Customs Act</w:t>
            </w:r>
          </w:p>
        </w:tc>
        <w:tc>
          <w:tcPr>
            <w:tcW w:w="5812" w:type="dxa"/>
          </w:tcPr>
          <w:p w14:paraId="0C63837C" w14:textId="77777777" w:rsidR="00B77877" w:rsidRPr="0032250E" w:rsidRDefault="00B77877" w:rsidP="00E136CA">
            <w:pPr>
              <w:pStyle w:val="ExpSectionText1"/>
              <w:spacing w:before="0"/>
              <w:ind w:firstLine="0"/>
              <w:rPr>
                <w:rFonts w:ascii="Arial" w:hAnsi="Arial" w:cs="Arial"/>
                <w:szCs w:val="22"/>
              </w:rPr>
            </w:pPr>
            <w:r w:rsidRPr="0032250E">
              <w:rPr>
                <w:rFonts w:ascii="Arial" w:hAnsi="Arial" w:cs="Arial"/>
                <w:szCs w:val="22"/>
              </w:rPr>
              <w:t>The amendment to Section 3 will:</w:t>
            </w:r>
          </w:p>
          <w:p w14:paraId="60B7F1BB" w14:textId="2FFDBD1C" w:rsidR="00B77877" w:rsidRPr="0032250E" w:rsidRDefault="00B77877" w:rsidP="00E136CA">
            <w:pPr>
              <w:pStyle w:val="ExpSectionText1"/>
              <w:numPr>
                <w:ilvl w:val="0"/>
                <w:numId w:val="5"/>
              </w:numPr>
              <w:spacing w:before="0"/>
              <w:rPr>
                <w:rFonts w:ascii="Arial" w:hAnsi="Arial" w:cs="Arial"/>
                <w:b/>
                <w:szCs w:val="22"/>
              </w:rPr>
            </w:pPr>
            <w:r w:rsidRPr="0032250E">
              <w:rPr>
                <w:rFonts w:ascii="Arial" w:hAnsi="Arial" w:cs="Arial"/>
                <w:szCs w:val="22"/>
              </w:rPr>
              <w:t>broaden the definition of ‘motor fuel’ in the Customs Act. Currently, the definition of ‘motor fuel’ is narrowly defined as either motor spirit or compressed natural gas, and does not include other</w:t>
            </w:r>
            <w:bookmarkStart w:id="0" w:name="_GoBack"/>
            <w:bookmarkEnd w:id="0"/>
            <w:r w:rsidRPr="0032250E">
              <w:rPr>
                <w:rFonts w:ascii="Arial" w:hAnsi="Arial" w:cs="Arial"/>
                <w:szCs w:val="22"/>
              </w:rPr>
              <w:t xml:space="preserve"> fuels such as </w:t>
            </w:r>
            <w:r w:rsidR="007334B8">
              <w:rPr>
                <w:rFonts w:ascii="Arial" w:hAnsi="Arial" w:cs="Arial"/>
                <w:szCs w:val="22"/>
              </w:rPr>
              <w:t>diesel</w:t>
            </w:r>
            <w:r w:rsidRPr="0032250E">
              <w:rPr>
                <w:rFonts w:ascii="Arial" w:hAnsi="Arial" w:cs="Arial"/>
                <w:szCs w:val="22"/>
              </w:rPr>
              <w:t>. It is proposed that the definition of ‘motor fuel’ be broadened to include any other fuel that may be used to power a means of transport;</w:t>
            </w:r>
          </w:p>
          <w:p w14:paraId="0BC169EE" w14:textId="77777777" w:rsidR="00B77877" w:rsidRPr="0032250E" w:rsidRDefault="00B77877" w:rsidP="00E136CA">
            <w:pPr>
              <w:pStyle w:val="ExpSectionText1"/>
              <w:numPr>
                <w:ilvl w:val="0"/>
                <w:numId w:val="5"/>
              </w:numPr>
              <w:spacing w:before="0"/>
              <w:rPr>
                <w:rFonts w:ascii="Arial" w:hAnsi="Arial" w:cs="Arial"/>
                <w:b/>
                <w:szCs w:val="22"/>
              </w:rPr>
            </w:pPr>
            <w:r w:rsidRPr="0032250E">
              <w:rPr>
                <w:rFonts w:ascii="Arial" w:eastAsiaTheme="minorEastAsia" w:hAnsi="Arial" w:cs="Arial"/>
                <w:szCs w:val="22"/>
                <w:lang w:eastAsia="zh-CN"/>
              </w:rPr>
              <w:t>remove the definition of “beer” as there are no mention of “beer” in the main Act; and</w:t>
            </w:r>
          </w:p>
          <w:p w14:paraId="16097E85" w14:textId="77777777" w:rsidR="00B77877" w:rsidRPr="0032250E" w:rsidRDefault="00B77877" w:rsidP="00E136CA">
            <w:pPr>
              <w:pStyle w:val="ExpSectionText1"/>
              <w:numPr>
                <w:ilvl w:val="0"/>
                <w:numId w:val="5"/>
              </w:numPr>
              <w:spacing w:before="0"/>
              <w:rPr>
                <w:rFonts w:ascii="Arial" w:hAnsi="Arial" w:cs="Arial"/>
                <w:b/>
                <w:szCs w:val="22"/>
              </w:rPr>
            </w:pPr>
            <w:r w:rsidRPr="0032250E">
              <w:rPr>
                <w:rFonts w:ascii="Arial" w:eastAsiaTheme="minorEastAsia" w:hAnsi="Arial" w:cs="Arial"/>
                <w:szCs w:val="22"/>
                <w:lang w:eastAsia="zh-CN"/>
              </w:rPr>
              <w:t xml:space="preserve">streamline the definition of “prohibited goods” to exclude prohibited goods as designated under other written laws in force in Singapore. This will provide clarity on the intent and scope of the Customs Act to be enforced only on prohibited goods as designated under section 38 of the Customs Act.    </w:t>
            </w:r>
          </w:p>
        </w:tc>
      </w:tr>
      <w:tr w:rsidR="006C2569" w:rsidRPr="0032250E" w14:paraId="6A1B6B05" w14:textId="77777777" w:rsidTr="00D003A1">
        <w:tc>
          <w:tcPr>
            <w:tcW w:w="570" w:type="dxa"/>
          </w:tcPr>
          <w:p w14:paraId="0B40695E" w14:textId="77777777" w:rsidR="006C2569" w:rsidRPr="0032250E" w:rsidRDefault="006C2569" w:rsidP="006C2569">
            <w:pPr>
              <w:pStyle w:val="ExpSectionText1"/>
              <w:numPr>
                <w:ilvl w:val="0"/>
                <w:numId w:val="1"/>
              </w:numPr>
              <w:ind w:left="284" w:hanging="142"/>
              <w:rPr>
                <w:rFonts w:ascii="Arial" w:hAnsi="Arial" w:cs="Arial"/>
                <w:szCs w:val="22"/>
              </w:rPr>
            </w:pPr>
          </w:p>
        </w:tc>
        <w:tc>
          <w:tcPr>
            <w:tcW w:w="2686" w:type="dxa"/>
          </w:tcPr>
          <w:p w14:paraId="4116E017" w14:textId="16743F1A" w:rsidR="006C2569" w:rsidRPr="0032250E" w:rsidRDefault="00E136CA" w:rsidP="002B49B8">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17 – Tax on motor vehicles using heavy fuel oil, etc.</w:t>
            </w:r>
          </w:p>
        </w:tc>
        <w:tc>
          <w:tcPr>
            <w:tcW w:w="4819" w:type="dxa"/>
          </w:tcPr>
          <w:p w14:paraId="7705C9B5" w14:textId="1AD146FB" w:rsidR="006C2569" w:rsidRPr="0032250E" w:rsidRDefault="00E136CA"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17 imposes the special tax on motor vehicles which are equipped with engines using heavy oil, liquefied petroleum gas or any other gas as fuel or fitted with producer gas or other gas attachments.</w:t>
            </w:r>
          </w:p>
        </w:tc>
        <w:tc>
          <w:tcPr>
            <w:tcW w:w="5812" w:type="dxa"/>
          </w:tcPr>
          <w:p w14:paraId="34181D64" w14:textId="3A87C54C" w:rsidR="006C2569" w:rsidRPr="0032250E" w:rsidRDefault="00E136CA"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 xml:space="preserve">Special tax is applicable to such vehicles and is payable on a half-yearly basis together with the payment of road tax. In Budget 2017, the special tax imposed under section 17 has been reduced for taxis and diesel vehicles as an offset measure to the new diesel tax. Section 17 is thus proposed to be amended to provide clarity and cater for scenarios where the special tax quantum is changed in the middle of the half-year </w:t>
            </w:r>
            <w:r w:rsidR="00256622" w:rsidRPr="0032250E">
              <w:rPr>
                <w:rFonts w:ascii="Arial" w:hAnsi="Arial" w:cs="Arial"/>
                <w:sz w:val="22"/>
                <w:szCs w:val="22"/>
              </w:rPr>
              <w:t>period.</w:t>
            </w:r>
          </w:p>
          <w:p w14:paraId="1C2C49E4" w14:textId="77777777" w:rsidR="006C2569" w:rsidRPr="0032250E" w:rsidRDefault="006C2569" w:rsidP="000B708F">
            <w:pPr>
              <w:tabs>
                <w:tab w:val="num" w:pos="720"/>
              </w:tabs>
              <w:autoSpaceDE w:val="0"/>
              <w:autoSpaceDN w:val="0"/>
              <w:adjustRightInd w:val="0"/>
              <w:spacing w:line="240" w:lineRule="atLeast"/>
              <w:jc w:val="both"/>
              <w:rPr>
                <w:rFonts w:ascii="Arial" w:hAnsi="Arial" w:cs="Arial"/>
                <w:sz w:val="22"/>
                <w:szCs w:val="22"/>
              </w:rPr>
            </w:pPr>
          </w:p>
        </w:tc>
      </w:tr>
      <w:tr w:rsidR="000B708F" w:rsidRPr="0032250E" w14:paraId="02C9F8B8" w14:textId="77777777" w:rsidTr="00D003A1">
        <w:tc>
          <w:tcPr>
            <w:tcW w:w="570" w:type="dxa"/>
          </w:tcPr>
          <w:p w14:paraId="67B2C51A" w14:textId="77777777" w:rsidR="000B708F" w:rsidRPr="0032250E" w:rsidRDefault="000B708F" w:rsidP="000B708F">
            <w:pPr>
              <w:pStyle w:val="ExpSectionText1"/>
              <w:numPr>
                <w:ilvl w:val="0"/>
                <w:numId w:val="1"/>
              </w:numPr>
              <w:ind w:left="284" w:hanging="142"/>
              <w:rPr>
                <w:rFonts w:ascii="Arial" w:hAnsi="Arial" w:cs="Arial"/>
                <w:szCs w:val="22"/>
              </w:rPr>
            </w:pPr>
          </w:p>
        </w:tc>
        <w:tc>
          <w:tcPr>
            <w:tcW w:w="2686" w:type="dxa"/>
          </w:tcPr>
          <w:p w14:paraId="50405D79" w14:textId="2DC9B19D" w:rsidR="000B708F" w:rsidRPr="0032250E" w:rsidRDefault="000B708F"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39 – Particulars of goods inwards to be furnished</w:t>
            </w:r>
          </w:p>
        </w:tc>
        <w:tc>
          <w:tcPr>
            <w:tcW w:w="4819" w:type="dxa"/>
          </w:tcPr>
          <w:p w14:paraId="504EBB6E" w14:textId="250D11E1" w:rsidR="000B708F" w:rsidRPr="0032250E" w:rsidRDefault="000B708F" w:rsidP="000B708F">
            <w:pPr>
              <w:pStyle w:val="ExpSectionText1"/>
              <w:ind w:firstLine="0"/>
              <w:rPr>
                <w:rFonts w:ascii="Arial" w:hAnsi="Arial" w:cs="Arial"/>
                <w:szCs w:val="22"/>
              </w:rPr>
            </w:pPr>
            <w:r w:rsidRPr="0032250E">
              <w:rPr>
                <w:rFonts w:ascii="Arial" w:hAnsi="Arial" w:cs="Arial"/>
                <w:szCs w:val="22"/>
              </w:rPr>
              <w:t>Section 39(3) provides Director-General of Customs the discretion to exempt the particulars of inwards goods to be furnished.</w:t>
            </w:r>
          </w:p>
        </w:tc>
        <w:tc>
          <w:tcPr>
            <w:tcW w:w="5812" w:type="dxa"/>
          </w:tcPr>
          <w:p w14:paraId="0173AA93" w14:textId="689A1861" w:rsidR="000B708F" w:rsidRPr="0032250E" w:rsidRDefault="000B708F" w:rsidP="000B708F">
            <w:pPr>
              <w:jc w:val="both"/>
              <w:rPr>
                <w:rFonts w:ascii="Arial" w:hAnsi="Arial" w:cs="Arial"/>
                <w:sz w:val="22"/>
                <w:szCs w:val="22"/>
              </w:rPr>
            </w:pPr>
            <w:r w:rsidRPr="0032250E">
              <w:rPr>
                <w:rFonts w:ascii="Arial" w:hAnsi="Arial" w:cs="Arial"/>
                <w:sz w:val="22"/>
                <w:szCs w:val="22"/>
              </w:rPr>
              <w:t xml:space="preserve">The amendment to Section 39 will allow the Director-General of Customs the discretion to exempt the pilot, owners, or agents of every vessel and aircraft arriving in </w:t>
            </w:r>
            <w:r w:rsidRPr="0032250E">
              <w:rPr>
                <w:rFonts w:ascii="Arial" w:hAnsi="Arial" w:cs="Arial"/>
                <w:sz w:val="22"/>
                <w:szCs w:val="22"/>
              </w:rPr>
              <w:lastRenderedPageBreak/>
              <w:t>Singapore, and the station-master at the Customs station, from the operation of sections 39(1) of the Customs Act.</w:t>
            </w:r>
            <w:r w:rsidR="0047554C" w:rsidRPr="0032250E">
              <w:rPr>
                <w:rFonts w:ascii="Arial" w:hAnsi="Arial" w:cs="Arial"/>
                <w:sz w:val="22"/>
                <w:szCs w:val="22"/>
              </w:rPr>
              <w:t xml:space="preserve"> The amendment supports Singapore Customs’ move towards a risk-based approach to manage the compliance burden of freight companies, and preserves Singapore’s attractiveness as a transhipment/transit hub.</w:t>
            </w:r>
          </w:p>
          <w:p w14:paraId="777947F2" w14:textId="77777777" w:rsidR="000B708F" w:rsidRPr="0032250E" w:rsidRDefault="000B708F" w:rsidP="000B708F">
            <w:pPr>
              <w:pStyle w:val="ExpSectionText1"/>
              <w:spacing w:before="0"/>
              <w:ind w:firstLine="0"/>
              <w:rPr>
                <w:rFonts w:ascii="Arial" w:hAnsi="Arial" w:cs="Arial"/>
                <w:szCs w:val="22"/>
              </w:rPr>
            </w:pPr>
          </w:p>
        </w:tc>
      </w:tr>
      <w:tr w:rsidR="000B708F" w:rsidRPr="0032250E" w14:paraId="66B62398" w14:textId="77777777" w:rsidTr="00D003A1">
        <w:tc>
          <w:tcPr>
            <w:tcW w:w="570" w:type="dxa"/>
          </w:tcPr>
          <w:p w14:paraId="68EAD32F" w14:textId="77777777" w:rsidR="000B708F" w:rsidRPr="0032250E" w:rsidRDefault="000B708F" w:rsidP="000B708F">
            <w:pPr>
              <w:pStyle w:val="ExpSectionText1"/>
              <w:numPr>
                <w:ilvl w:val="0"/>
                <w:numId w:val="1"/>
              </w:numPr>
              <w:ind w:left="284" w:hanging="142"/>
              <w:rPr>
                <w:rFonts w:ascii="Arial" w:hAnsi="Arial" w:cs="Arial"/>
                <w:szCs w:val="22"/>
              </w:rPr>
            </w:pPr>
          </w:p>
        </w:tc>
        <w:tc>
          <w:tcPr>
            <w:tcW w:w="2686" w:type="dxa"/>
          </w:tcPr>
          <w:p w14:paraId="13B4A23F" w14:textId="11ED7FFD" w:rsidR="000B708F" w:rsidRPr="0032250E" w:rsidRDefault="000B708F"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 xml:space="preserve">Section 41 </w:t>
            </w:r>
            <w:r w:rsidRPr="0032250E">
              <w:rPr>
                <w:rFonts w:ascii="Arial" w:hAnsi="Arial" w:cs="Arial"/>
                <w:b/>
                <w:sz w:val="22"/>
                <w:szCs w:val="22"/>
              </w:rPr>
              <w:t>–</w:t>
            </w:r>
            <w:r w:rsidRPr="0032250E">
              <w:rPr>
                <w:rFonts w:ascii="Arial" w:hAnsi="Arial" w:cs="Arial"/>
                <w:sz w:val="22"/>
                <w:szCs w:val="22"/>
              </w:rPr>
              <w:t xml:space="preserve"> Particulars of goods outwards to be furnished</w:t>
            </w:r>
          </w:p>
        </w:tc>
        <w:tc>
          <w:tcPr>
            <w:tcW w:w="4819" w:type="dxa"/>
          </w:tcPr>
          <w:p w14:paraId="13C0FB25" w14:textId="5DB7F9D1" w:rsidR="000B708F" w:rsidRPr="0032250E" w:rsidRDefault="000B708F" w:rsidP="000B708F">
            <w:pPr>
              <w:pStyle w:val="ExpSectionText1"/>
              <w:ind w:firstLine="0"/>
              <w:rPr>
                <w:rFonts w:ascii="Arial" w:hAnsi="Arial" w:cs="Arial"/>
                <w:szCs w:val="22"/>
              </w:rPr>
            </w:pPr>
            <w:r w:rsidRPr="0032250E">
              <w:rPr>
                <w:rFonts w:ascii="Arial" w:hAnsi="Arial" w:cs="Arial"/>
                <w:szCs w:val="22"/>
              </w:rPr>
              <w:t>Section 41(3) provides Director-General of Customs the discretion to exempt the particulars of outwards goods to be furnished.</w:t>
            </w:r>
          </w:p>
        </w:tc>
        <w:tc>
          <w:tcPr>
            <w:tcW w:w="5812" w:type="dxa"/>
          </w:tcPr>
          <w:p w14:paraId="0431C402" w14:textId="7D9EE80F" w:rsidR="000B708F" w:rsidRPr="0032250E" w:rsidRDefault="000B708F" w:rsidP="0047554C">
            <w:pPr>
              <w:jc w:val="both"/>
              <w:rPr>
                <w:rFonts w:ascii="Arial" w:hAnsi="Arial" w:cs="Arial"/>
                <w:sz w:val="22"/>
                <w:szCs w:val="22"/>
              </w:rPr>
            </w:pPr>
            <w:r w:rsidRPr="0032250E">
              <w:rPr>
                <w:rFonts w:ascii="Arial" w:hAnsi="Arial" w:cs="Arial"/>
                <w:sz w:val="22"/>
                <w:szCs w:val="22"/>
              </w:rPr>
              <w:t>The amendment to Section 41 will allow the Director-General of Customs the discretion to exempt the pilot, owners, or agents of every vessel and aircraft arriving in Singapore, and the station-master at the Customs station, from the operation of sections 41(1) of the Customs Act.</w:t>
            </w:r>
            <w:r w:rsidR="0047554C" w:rsidRPr="0032250E">
              <w:rPr>
                <w:rFonts w:ascii="Arial" w:hAnsi="Arial" w:cs="Arial"/>
                <w:sz w:val="22"/>
                <w:szCs w:val="22"/>
              </w:rPr>
              <w:t xml:space="preserve"> The amendment supports Singapore Customs’ risk-based approach to manage the compliance burden of freight companies, and preserves Singapore’s attractiveness as a transhipment/transit hub.</w:t>
            </w:r>
          </w:p>
          <w:p w14:paraId="6D6F6D04" w14:textId="33133DAC" w:rsidR="00FF07BB" w:rsidRPr="0032250E" w:rsidRDefault="00FF07BB" w:rsidP="002362FA">
            <w:pPr>
              <w:pStyle w:val="ExpSectionText1"/>
              <w:spacing w:before="0"/>
              <w:ind w:firstLine="0"/>
              <w:rPr>
                <w:rFonts w:ascii="Arial" w:hAnsi="Arial" w:cs="Arial"/>
                <w:szCs w:val="22"/>
              </w:rPr>
            </w:pPr>
          </w:p>
        </w:tc>
      </w:tr>
      <w:tr w:rsidR="000B708F" w:rsidRPr="0032250E" w14:paraId="27E52A12" w14:textId="77777777" w:rsidTr="00D003A1">
        <w:tc>
          <w:tcPr>
            <w:tcW w:w="570" w:type="dxa"/>
          </w:tcPr>
          <w:p w14:paraId="4A6C7A84" w14:textId="77777777" w:rsidR="000B708F" w:rsidRPr="0032250E" w:rsidRDefault="000B708F" w:rsidP="000B708F">
            <w:pPr>
              <w:pStyle w:val="ExpSectionText1"/>
              <w:numPr>
                <w:ilvl w:val="0"/>
                <w:numId w:val="1"/>
              </w:numPr>
              <w:ind w:left="284" w:hanging="142"/>
              <w:rPr>
                <w:rFonts w:ascii="Arial" w:hAnsi="Arial" w:cs="Arial"/>
                <w:szCs w:val="22"/>
              </w:rPr>
            </w:pPr>
          </w:p>
        </w:tc>
        <w:tc>
          <w:tcPr>
            <w:tcW w:w="2686" w:type="dxa"/>
          </w:tcPr>
          <w:p w14:paraId="3EA506D3" w14:textId="2AF49854" w:rsidR="000B708F" w:rsidRPr="0032250E" w:rsidRDefault="000B708F"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5</w:t>
            </w:r>
            <w:r w:rsidRPr="0032250E">
              <w:rPr>
                <w:rFonts w:ascii="Arial" w:hAnsi="Arial" w:cs="Arial"/>
                <w:b/>
                <w:sz w:val="22"/>
                <w:szCs w:val="22"/>
              </w:rPr>
              <w:t xml:space="preserve"> – </w:t>
            </w:r>
            <w:r w:rsidRPr="0032250E">
              <w:rPr>
                <w:rFonts w:ascii="Arial" w:hAnsi="Arial" w:cs="Arial"/>
                <w:sz w:val="22"/>
                <w:szCs w:val="22"/>
              </w:rPr>
              <w:t>Powers of Director-General to delegate</w:t>
            </w:r>
          </w:p>
        </w:tc>
        <w:tc>
          <w:tcPr>
            <w:tcW w:w="4819" w:type="dxa"/>
          </w:tcPr>
          <w:p w14:paraId="66B3C1D5" w14:textId="54398C85" w:rsidR="000B708F" w:rsidRDefault="000B708F" w:rsidP="000B708F">
            <w:pPr>
              <w:jc w:val="both"/>
              <w:rPr>
                <w:rFonts w:ascii="Arial" w:hAnsi="Arial" w:cs="Arial"/>
                <w:sz w:val="22"/>
                <w:szCs w:val="22"/>
              </w:rPr>
            </w:pPr>
            <w:r w:rsidRPr="0032250E">
              <w:rPr>
                <w:rFonts w:ascii="Arial" w:hAnsi="Arial" w:cs="Arial"/>
                <w:sz w:val="22"/>
                <w:szCs w:val="22"/>
              </w:rPr>
              <w:t xml:space="preserve">Section 5(1) allows Director-General </w:t>
            </w:r>
            <w:r w:rsidR="0071416A" w:rsidRPr="0032250E">
              <w:rPr>
                <w:rFonts w:ascii="Arial" w:hAnsi="Arial" w:cs="Arial"/>
                <w:sz w:val="22"/>
                <w:szCs w:val="22"/>
              </w:rPr>
              <w:t xml:space="preserve">of Customs </w:t>
            </w:r>
            <w:r w:rsidRPr="0032250E">
              <w:rPr>
                <w:rFonts w:ascii="Arial" w:hAnsi="Arial" w:cs="Arial"/>
                <w:sz w:val="22"/>
                <w:szCs w:val="22"/>
              </w:rPr>
              <w:t xml:space="preserve">to confer any senior officer of Customs with powers </w:t>
            </w:r>
            <w:r w:rsidR="005451BF">
              <w:rPr>
                <w:rFonts w:ascii="Arial" w:hAnsi="Arial" w:cs="Arial"/>
                <w:sz w:val="22"/>
                <w:szCs w:val="22"/>
              </w:rPr>
              <w:t xml:space="preserve">already granted to him under the Act, </w:t>
            </w:r>
            <w:r w:rsidRPr="0032250E">
              <w:rPr>
                <w:rFonts w:ascii="Arial" w:hAnsi="Arial" w:cs="Arial"/>
                <w:sz w:val="22"/>
                <w:szCs w:val="22"/>
              </w:rPr>
              <w:t>subject to Minister’s approval.</w:t>
            </w:r>
          </w:p>
          <w:p w14:paraId="47FBF971" w14:textId="289D32BA" w:rsidR="000153FC" w:rsidRDefault="000153FC" w:rsidP="000B708F">
            <w:pPr>
              <w:jc w:val="both"/>
              <w:rPr>
                <w:rFonts w:ascii="Arial" w:hAnsi="Arial" w:cs="Arial"/>
                <w:sz w:val="22"/>
                <w:szCs w:val="22"/>
              </w:rPr>
            </w:pPr>
          </w:p>
          <w:p w14:paraId="5C03A391" w14:textId="77777777" w:rsidR="000B708F" w:rsidRPr="0032250E" w:rsidRDefault="000B708F" w:rsidP="000F5C19">
            <w:pPr>
              <w:jc w:val="both"/>
              <w:rPr>
                <w:rFonts w:ascii="Arial" w:hAnsi="Arial" w:cs="Arial"/>
                <w:szCs w:val="22"/>
              </w:rPr>
            </w:pPr>
          </w:p>
        </w:tc>
        <w:tc>
          <w:tcPr>
            <w:tcW w:w="5812" w:type="dxa"/>
          </w:tcPr>
          <w:p w14:paraId="75EB6B76" w14:textId="2EC69BCD" w:rsidR="000B708F" w:rsidRDefault="000B708F" w:rsidP="000F5C19">
            <w:pPr>
              <w:pStyle w:val="ExpSectionText1"/>
              <w:spacing w:before="0"/>
              <w:ind w:firstLine="0"/>
              <w:rPr>
                <w:rFonts w:ascii="Arial" w:hAnsi="Arial" w:cs="Arial"/>
                <w:szCs w:val="22"/>
              </w:rPr>
            </w:pPr>
            <w:r w:rsidRPr="0032250E">
              <w:rPr>
                <w:rFonts w:ascii="Arial" w:hAnsi="Arial" w:cs="Arial"/>
                <w:szCs w:val="22"/>
              </w:rPr>
              <w:t xml:space="preserve">The amendment to </w:t>
            </w:r>
            <w:r w:rsidR="002362FA" w:rsidRPr="0032250E">
              <w:rPr>
                <w:rFonts w:ascii="Arial" w:hAnsi="Arial" w:cs="Arial"/>
                <w:szCs w:val="22"/>
              </w:rPr>
              <w:t>Section 5</w:t>
            </w:r>
            <w:r w:rsidRPr="0032250E">
              <w:rPr>
                <w:rFonts w:ascii="Arial" w:hAnsi="Arial" w:cs="Arial"/>
                <w:szCs w:val="22"/>
              </w:rPr>
              <w:t xml:space="preserve"> will</w:t>
            </w:r>
            <w:r w:rsidR="005451BF">
              <w:rPr>
                <w:rFonts w:ascii="Arial" w:hAnsi="Arial" w:cs="Arial"/>
                <w:szCs w:val="22"/>
              </w:rPr>
              <w:t xml:space="preserve"> </w:t>
            </w:r>
            <w:r w:rsidR="005451BF" w:rsidRPr="000153FC">
              <w:rPr>
                <w:rFonts w:ascii="Arial" w:eastAsiaTheme="minorEastAsia" w:hAnsi="Arial" w:cs="Arial"/>
                <w:szCs w:val="22"/>
                <w:lang w:eastAsia="zh-CN"/>
              </w:rPr>
              <w:t>give</w:t>
            </w:r>
            <w:r w:rsidR="005451BF">
              <w:rPr>
                <w:rFonts w:ascii="Arial" w:hAnsi="Arial" w:cs="Arial"/>
                <w:szCs w:val="22"/>
              </w:rPr>
              <w:t xml:space="preserve"> </w:t>
            </w:r>
            <w:r w:rsidR="00256622">
              <w:rPr>
                <w:rFonts w:ascii="Arial" w:hAnsi="Arial" w:cs="Arial"/>
                <w:szCs w:val="22"/>
              </w:rPr>
              <w:t xml:space="preserve">the </w:t>
            </w:r>
            <w:r w:rsidR="00256622" w:rsidRPr="0032250E">
              <w:rPr>
                <w:rFonts w:ascii="Arial" w:hAnsi="Arial" w:cs="Arial"/>
                <w:szCs w:val="22"/>
              </w:rPr>
              <w:t>Director</w:t>
            </w:r>
            <w:r w:rsidRPr="0032250E">
              <w:rPr>
                <w:rFonts w:ascii="Arial" w:hAnsi="Arial" w:cs="Arial"/>
                <w:szCs w:val="22"/>
              </w:rPr>
              <w:t>-General of Customs</w:t>
            </w:r>
            <w:r w:rsidR="005451BF">
              <w:rPr>
                <w:rFonts w:ascii="Arial" w:hAnsi="Arial" w:cs="Arial"/>
                <w:szCs w:val="22"/>
              </w:rPr>
              <w:t xml:space="preserve"> the flexibility</w:t>
            </w:r>
            <w:r w:rsidRPr="0032250E">
              <w:rPr>
                <w:rFonts w:ascii="Arial" w:hAnsi="Arial" w:cs="Arial"/>
                <w:szCs w:val="22"/>
              </w:rPr>
              <w:t xml:space="preserve"> to confer </w:t>
            </w:r>
            <w:r w:rsidR="005451BF">
              <w:rPr>
                <w:rFonts w:ascii="Arial" w:hAnsi="Arial" w:cs="Arial"/>
                <w:szCs w:val="22"/>
              </w:rPr>
              <w:t>his</w:t>
            </w:r>
            <w:r w:rsidRPr="0032250E">
              <w:rPr>
                <w:rFonts w:ascii="Arial" w:hAnsi="Arial" w:cs="Arial"/>
                <w:szCs w:val="22"/>
              </w:rPr>
              <w:t xml:space="preserve"> powers </w:t>
            </w:r>
            <w:r w:rsidR="005451BF">
              <w:rPr>
                <w:rFonts w:ascii="Arial" w:hAnsi="Arial" w:cs="Arial"/>
                <w:szCs w:val="22"/>
              </w:rPr>
              <w:t>under</w:t>
            </w:r>
            <w:r w:rsidR="000153FC">
              <w:rPr>
                <w:rFonts w:ascii="Arial" w:hAnsi="Arial" w:cs="Arial"/>
                <w:szCs w:val="22"/>
              </w:rPr>
              <w:t xml:space="preserve"> section 5(1) of</w:t>
            </w:r>
            <w:r w:rsidR="005451BF">
              <w:rPr>
                <w:rFonts w:ascii="Arial" w:hAnsi="Arial" w:cs="Arial"/>
                <w:szCs w:val="22"/>
              </w:rPr>
              <w:t xml:space="preserve"> the Act</w:t>
            </w:r>
            <w:r w:rsidR="00256622">
              <w:rPr>
                <w:rFonts w:ascii="Arial" w:hAnsi="Arial" w:cs="Arial"/>
                <w:szCs w:val="22"/>
              </w:rPr>
              <w:t>.</w:t>
            </w:r>
          </w:p>
          <w:p w14:paraId="12A6E67E" w14:textId="61CA2DC2" w:rsidR="00B230C6" w:rsidRPr="0032250E" w:rsidRDefault="00B230C6" w:rsidP="000F5C19">
            <w:pPr>
              <w:pStyle w:val="ExpSectionText1"/>
              <w:spacing w:before="0"/>
              <w:ind w:left="1080" w:firstLine="0"/>
              <w:rPr>
                <w:rFonts w:ascii="Arial" w:hAnsi="Arial" w:cs="Arial"/>
                <w:szCs w:val="22"/>
              </w:rPr>
            </w:pPr>
          </w:p>
        </w:tc>
      </w:tr>
      <w:tr w:rsidR="000B708F" w:rsidRPr="0032250E" w14:paraId="043A5FBF" w14:textId="77777777" w:rsidTr="00D003A1">
        <w:tc>
          <w:tcPr>
            <w:tcW w:w="570" w:type="dxa"/>
          </w:tcPr>
          <w:p w14:paraId="1D8BB428" w14:textId="77777777" w:rsidR="000B708F" w:rsidRPr="0032250E" w:rsidRDefault="000B708F" w:rsidP="000B708F">
            <w:pPr>
              <w:pStyle w:val="ExpSectionText1"/>
              <w:numPr>
                <w:ilvl w:val="0"/>
                <w:numId w:val="1"/>
              </w:numPr>
              <w:ind w:left="284" w:hanging="142"/>
              <w:rPr>
                <w:rFonts w:ascii="Arial" w:hAnsi="Arial" w:cs="Arial"/>
                <w:szCs w:val="22"/>
              </w:rPr>
            </w:pPr>
          </w:p>
        </w:tc>
        <w:tc>
          <w:tcPr>
            <w:tcW w:w="2686" w:type="dxa"/>
          </w:tcPr>
          <w:p w14:paraId="138B1E2D" w14:textId="15066F72" w:rsidR="000B708F" w:rsidRPr="0032250E" w:rsidRDefault="000B708F"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19 – Return of duties, taxes, fees or other charges overpaid or erroneously paid</w:t>
            </w:r>
          </w:p>
        </w:tc>
        <w:tc>
          <w:tcPr>
            <w:tcW w:w="4819" w:type="dxa"/>
          </w:tcPr>
          <w:p w14:paraId="1DAF7373" w14:textId="6A8EE53F" w:rsidR="000B708F" w:rsidRPr="0032250E" w:rsidRDefault="000B708F" w:rsidP="000B708F">
            <w:pPr>
              <w:jc w:val="both"/>
              <w:rPr>
                <w:rFonts w:ascii="Arial" w:hAnsi="Arial" w:cs="Arial"/>
                <w:sz w:val="22"/>
                <w:szCs w:val="22"/>
              </w:rPr>
            </w:pPr>
            <w:r w:rsidRPr="0032250E">
              <w:rPr>
                <w:rFonts w:ascii="Arial" w:hAnsi="Arial" w:cs="Arial"/>
                <w:sz w:val="22"/>
                <w:szCs w:val="22"/>
              </w:rPr>
              <w:t xml:space="preserve">Section 19 allows that Director-General of Customs to order the refund of </w:t>
            </w:r>
            <w:r w:rsidR="0043356D" w:rsidRPr="0032250E">
              <w:rPr>
                <w:rFonts w:ascii="Arial" w:hAnsi="Arial" w:cs="Arial"/>
                <w:sz w:val="22"/>
                <w:szCs w:val="22"/>
              </w:rPr>
              <w:t>duties, taxes, fees or other charges</w:t>
            </w:r>
            <w:r w:rsidRPr="0032250E">
              <w:rPr>
                <w:rFonts w:ascii="Arial" w:hAnsi="Arial" w:cs="Arial"/>
                <w:sz w:val="22"/>
                <w:szCs w:val="22"/>
              </w:rPr>
              <w:t xml:space="preserve"> so overpaid or erroneously paid</w:t>
            </w:r>
            <w:r w:rsidR="00C67ADB">
              <w:rPr>
                <w:rFonts w:ascii="Arial" w:hAnsi="Arial" w:cs="Arial"/>
                <w:sz w:val="22"/>
                <w:szCs w:val="22"/>
              </w:rPr>
              <w:t xml:space="preserve"> when</w:t>
            </w:r>
            <w:r w:rsidR="005451BF">
              <w:rPr>
                <w:rFonts w:ascii="Arial" w:hAnsi="Arial" w:cs="Arial"/>
                <w:sz w:val="22"/>
                <w:szCs w:val="22"/>
              </w:rPr>
              <w:t xml:space="preserve"> a claim is made to Customs within</w:t>
            </w:r>
            <w:r w:rsidR="005451BF" w:rsidRPr="0032250E">
              <w:rPr>
                <w:rFonts w:ascii="Arial" w:hAnsi="Arial" w:cs="Arial"/>
                <w:sz w:val="22"/>
                <w:szCs w:val="22"/>
              </w:rPr>
              <w:t xml:space="preserve"> one-year</w:t>
            </w:r>
            <w:r w:rsidR="005451BF">
              <w:rPr>
                <w:rFonts w:ascii="Arial" w:hAnsi="Arial" w:cs="Arial"/>
                <w:sz w:val="22"/>
                <w:szCs w:val="22"/>
              </w:rPr>
              <w:t xml:space="preserve"> of overpayment or erroneous collection</w:t>
            </w:r>
            <w:r w:rsidRPr="0032250E">
              <w:rPr>
                <w:rFonts w:ascii="Arial" w:hAnsi="Arial" w:cs="Arial"/>
                <w:sz w:val="22"/>
                <w:szCs w:val="22"/>
              </w:rPr>
              <w:t>.</w:t>
            </w:r>
          </w:p>
          <w:p w14:paraId="2AC942D5" w14:textId="66A1A7DD" w:rsidR="000B708F" w:rsidRPr="0032250E" w:rsidRDefault="000B708F" w:rsidP="000B708F">
            <w:pPr>
              <w:jc w:val="both"/>
              <w:rPr>
                <w:rFonts w:ascii="Arial" w:hAnsi="Arial" w:cs="Arial"/>
                <w:sz w:val="22"/>
                <w:szCs w:val="22"/>
              </w:rPr>
            </w:pPr>
          </w:p>
          <w:p w14:paraId="5B116E4D" w14:textId="77777777" w:rsidR="000B708F" w:rsidRPr="0032250E" w:rsidRDefault="000B708F" w:rsidP="000B708F">
            <w:pPr>
              <w:pStyle w:val="ExpSectionText1"/>
              <w:ind w:firstLine="0"/>
              <w:rPr>
                <w:rFonts w:ascii="Arial" w:hAnsi="Arial" w:cs="Arial"/>
                <w:szCs w:val="22"/>
              </w:rPr>
            </w:pPr>
          </w:p>
        </w:tc>
        <w:tc>
          <w:tcPr>
            <w:tcW w:w="5812" w:type="dxa"/>
          </w:tcPr>
          <w:p w14:paraId="46C16487" w14:textId="59545936" w:rsidR="000B708F" w:rsidRPr="0032250E" w:rsidRDefault="000B708F" w:rsidP="00AA6D54">
            <w:pPr>
              <w:pStyle w:val="ExpSectionText1"/>
              <w:spacing w:before="0"/>
              <w:ind w:firstLine="0"/>
              <w:rPr>
                <w:rFonts w:ascii="Arial" w:hAnsi="Arial" w:cs="Arial"/>
                <w:szCs w:val="22"/>
              </w:rPr>
            </w:pPr>
            <w:r w:rsidRPr="0032250E">
              <w:rPr>
                <w:rFonts w:ascii="Arial" w:hAnsi="Arial" w:cs="Arial"/>
                <w:szCs w:val="22"/>
              </w:rPr>
              <w:t xml:space="preserve">The amendment to </w:t>
            </w:r>
            <w:r w:rsidR="002362FA" w:rsidRPr="0032250E">
              <w:rPr>
                <w:rFonts w:ascii="Arial" w:hAnsi="Arial" w:cs="Arial"/>
                <w:szCs w:val="22"/>
              </w:rPr>
              <w:t>Section 19</w:t>
            </w:r>
            <w:r w:rsidRPr="0032250E">
              <w:rPr>
                <w:rFonts w:ascii="Arial" w:hAnsi="Arial" w:cs="Arial"/>
                <w:szCs w:val="22"/>
              </w:rPr>
              <w:t xml:space="preserve"> will </w:t>
            </w:r>
            <w:r w:rsidR="005451BF">
              <w:rPr>
                <w:rFonts w:ascii="Arial" w:hAnsi="Arial" w:cs="Arial"/>
                <w:szCs w:val="22"/>
              </w:rPr>
              <w:t>extend the current one-year time limit for claimants to submit claims for refunds of duties, taxes, or other charges, to five years in alignment with the GST Act.</w:t>
            </w:r>
          </w:p>
        </w:tc>
      </w:tr>
      <w:tr w:rsidR="000B708F" w:rsidRPr="0032250E" w14:paraId="575523A5" w14:textId="77777777" w:rsidTr="00D003A1">
        <w:tc>
          <w:tcPr>
            <w:tcW w:w="570" w:type="dxa"/>
          </w:tcPr>
          <w:p w14:paraId="4E77C78D" w14:textId="77777777" w:rsidR="000B708F" w:rsidRPr="0032250E" w:rsidRDefault="000B708F" w:rsidP="000B708F">
            <w:pPr>
              <w:pStyle w:val="ExpSectionText1"/>
              <w:numPr>
                <w:ilvl w:val="0"/>
                <w:numId w:val="1"/>
              </w:numPr>
              <w:ind w:left="284" w:hanging="142"/>
              <w:rPr>
                <w:rFonts w:ascii="Arial" w:hAnsi="Arial" w:cs="Arial"/>
                <w:szCs w:val="22"/>
              </w:rPr>
            </w:pPr>
          </w:p>
        </w:tc>
        <w:tc>
          <w:tcPr>
            <w:tcW w:w="2686" w:type="dxa"/>
          </w:tcPr>
          <w:p w14:paraId="642F49A8" w14:textId="743225AD" w:rsidR="000B708F" w:rsidRPr="0032250E" w:rsidRDefault="000B708F" w:rsidP="000B708F">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20 – Payment of duty, etc., short levied or erroneously refunded</w:t>
            </w:r>
          </w:p>
        </w:tc>
        <w:tc>
          <w:tcPr>
            <w:tcW w:w="4819" w:type="dxa"/>
          </w:tcPr>
          <w:p w14:paraId="5B723FF3" w14:textId="69AF1057" w:rsidR="000B708F" w:rsidRPr="0032250E" w:rsidRDefault="000B708F" w:rsidP="007612BA">
            <w:pPr>
              <w:pStyle w:val="ExpSectionText1"/>
              <w:spacing w:before="0"/>
              <w:ind w:firstLine="0"/>
              <w:rPr>
                <w:rFonts w:ascii="Arial" w:hAnsi="Arial" w:cs="Arial"/>
                <w:szCs w:val="22"/>
              </w:rPr>
            </w:pPr>
            <w:r w:rsidRPr="0032250E">
              <w:rPr>
                <w:rFonts w:ascii="Arial" w:hAnsi="Arial" w:cs="Arial"/>
                <w:szCs w:val="22"/>
              </w:rPr>
              <w:t xml:space="preserve">Section 20 allows that Director-General of Customs to </w:t>
            </w:r>
            <w:r w:rsidR="00E2718B" w:rsidRPr="0032250E">
              <w:rPr>
                <w:rFonts w:ascii="Arial" w:hAnsi="Arial" w:cs="Arial"/>
                <w:szCs w:val="22"/>
              </w:rPr>
              <w:t>demand</w:t>
            </w:r>
            <w:r w:rsidRPr="0032250E">
              <w:rPr>
                <w:rFonts w:ascii="Arial" w:hAnsi="Arial" w:cs="Arial"/>
                <w:szCs w:val="22"/>
              </w:rPr>
              <w:t xml:space="preserve"> the recovery of </w:t>
            </w:r>
            <w:r w:rsidR="0043356D" w:rsidRPr="0032250E">
              <w:rPr>
                <w:rFonts w:ascii="Arial" w:hAnsi="Arial" w:cs="Arial"/>
                <w:szCs w:val="22"/>
              </w:rPr>
              <w:t xml:space="preserve">duties, taxes, fees or other charges </w:t>
            </w:r>
            <w:r w:rsidRPr="0032250E">
              <w:rPr>
                <w:rFonts w:ascii="Arial" w:hAnsi="Arial" w:cs="Arial"/>
                <w:szCs w:val="22"/>
              </w:rPr>
              <w:t>short</w:t>
            </w:r>
            <w:r w:rsidR="0043356D" w:rsidRPr="0032250E">
              <w:rPr>
                <w:rFonts w:ascii="Arial" w:hAnsi="Arial" w:cs="Arial"/>
                <w:szCs w:val="22"/>
              </w:rPr>
              <w:t xml:space="preserve"> levied</w:t>
            </w:r>
            <w:r w:rsidRPr="0032250E">
              <w:rPr>
                <w:rFonts w:ascii="Arial" w:hAnsi="Arial" w:cs="Arial"/>
                <w:szCs w:val="22"/>
              </w:rPr>
              <w:t xml:space="preserve"> or </w:t>
            </w:r>
            <w:r w:rsidRPr="0032250E">
              <w:rPr>
                <w:rFonts w:ascii="Arial" w:hAnsi="Arial" w:cs="Arial"/>
                <w:szCs w:val="22"/>
              </w:rPr>
              <w:lastRenderedPageBreak/>
              <w:t>erroneously refunded</w:t>
            </w:r>
            <w:r w:rsidR="005122BF">
              <w:rPr>
                <w:rFonts w:ascii="Arial" w:hAnsi="Arial" w:cs="Arial"/>
                <w:szCs w:val="22"/>
              </w:rPr>
              <w:t xml:space="preserve">, but only </w:t>
            </w:r>
            <w:r w:rsidR="00E64EC8" w:rsidRPr="0032250E">
              <w:rPr>
                <w:rFonts w:ascii="Arial" w:hAnsi="Arial" w:cs="Arial"/>
                <w:szCs w:val="22"/>
              </w:rPr>
              <w:t>with</w:t>
            </w:r>
            <w:r w:rsidR="005122BF">
              <w:rPr>
                <w:rFonts w:ascii="Arial" w:hAnsi="Arial" w:cs="Arial"/>
                <w:szCs w:val="22"/>
              </w:rPr>
              <w:t>in</w:t>
            </w:r>
            <w:r w:rsidR="00E64EC8" w:rsidRPr="0032250E">
              <w:rPr>
                <w:rFonts w:ascii="Arial" w:hAnsi="Arial" w:cs="Arial"/>
                <w:szCs w:val="22"/>
              </w:rPr>
              <w:t xml:space="preserve"> one</w:t>
            </w:r>
            <w:r w:rsidR="005122BF">
              <w:rPr>
                <w:rFonts w:ascii="Arial" w:hAnsi="Arial" w:cs="Arial"/>
                <w:szCs w:val="22"/>
              </w:rPr>
              <w:t>-</w:t>
            </w:r>
            <w:r w:rsidR="00E64EC8" w:rsidRPr="0032250E">
              <w:rPr>
                <w:rFonts w:ascii="Arial" w:hAnsi="Arial" w:cs="Arial"/>
                <w:szCs w:val="22"/>
              </w:rPr>
              <w:t>year</w:t>
            </w:r>
            <w:r w:rsidR="005122BF">
              <w:rPr>
                <w:rFonts w:ascii="Arial" w:hAnsi="Arial" w:cs="Arial"/>
                <w:szCs w:val="22"/>
              </w:rPr>
              <w:t xml:space="preserve"> of underpayment or erroneous refund</w:t>
            </w:r>
            <w:r w:rsidRPr="0032250E">
              <w:rPr>
                <w:rFonts w:ascii="Arial" w:hAnsi="Arial" w:cs="Arial"/>
                <w:szCs w:val="22"/>
              </w:rPr>
              <w:t>.</w:t>
            </w:r>
          </w:p>
          <w:p w14:paraId="05299F48" w14:textId="77777777" w:rsidR="000B708F" w:rsidRPr="0032250E" w:rsidRDefault="000B708F" w:rsidP="007612BA">
            <w:pPr>
              <w:pStyle w:val="ExpSectionText1"/>
              <w:spacing w:before="0"/>
              <w:ind w:firstLine="0"/>
              <w:rPr>
                <w:rFonts w:ascii="Arial" w:hAnsi="Arial" w:cs="Arial"/>
                <w:szCs w:val="22"/>
              </w:rPr>
            </w:pPr>
          </w:p>
        </w:tc>
        <w:tc>
          <w:tcPr>
            <w:tcW w:w="5812" w:type="dxa"/>
          </w:tcPr>
          <w:p w14:paraId="28D03A31" w14:textId="58C959BA" w:rsidR="000B708F" w:rsidRPr="0032250E" w:rsidRDefault="000B708F" w:rsidP="005122BF">
            <w:pPr>
              <w:pStyle w:val="ExpSectionText1"/>
              <w:spacing w:before="0"/>
              <w:ind w:firstLine="0"/>
              <w:rPr>
                <w:rFonts w:ascii="Arial" w:hAnsi="Arial" w:cs="Arial"/>
                <w:szCs w:val="22"/>
              </w:rPr>
            </w:pPr>
            <w:r w:rsidRPr="005122BF">
              <w:rPr>
                <w:rFonts w:ascii="Arial" w:hAnsi="Arial" w:cs="Arial"/>
                <w:szCs w:val="22"/>
              </w:rPr>
              <w:lastRenderedPageBreak/>
              <w:t xml:space="preserve">The amendment to Section 20 </w:t>
            </w:r>
            <w:r w:rsidR="00860931" w:rsidRPr="005122BF">
              <w:rPr>
                <w:rFonts w:ascii="Arial" w:hAnsi="Arial" w:cs="Arial"/>
                <w:szCs w:val="22"/>
              </w:rPr>
              <w:t xml:space="preserve">will </w:t>
            </w:r>
            <w:r w:rsidR="00C67ADB">
              <w:rPr>
                <w:rFonts w:ascii="Arial" w:hAnsi="Arial" w:cs="Arial"/>
                <w:szCs w:val="22"/>
              </w:rPr>
              <w:t>increase</w:t>
            </w:r>
            <w:r w:rsidR="005122BF" w:rsidRPr="005122BF">
              <w:rPr>
                <w:rFonts w:ascii="Arial" w:hAnsi="Arial" w:cs="Arial"/>
                <w:szCs w:val="22"/>
              </w:rPr>
              <w:t xml:space="preserve"> the one-year time limit to recover duties, taxes, fees, or other charges</w:t>
            </w:r>
            <w:r w:rsidR="005122BF" w:rsidRPr="00A177FE">
              <w:rPr>
                <w:rFonts w:ascii="Arial" w:hAnsi="Arial" w:cs="Arial"/>
                <w:szCs w:val="22"/>
              </w:rPr>
              <w:t xml:space="preserve"> to five years, and</w:t>
            </w:r>
            <w:r w:rsidR="002378CD">
              <w:rPr>
                <w:rFonts w:ascii="Arial" w:hAnsi="Arial" w:cs="Arial"/>
                <w:szCs w:val="22"/>
              </w:rPr>
              <w:t xml:space="preserve"> remove entirely</w:t>
            </w:r>
            <w:r w:rsidR="005122BF" w:rsidRPr="00A177FE">
              <w:rPr>
                <w:rFonts w:ascii="Arial" w:hAnsi="Arial" w:cs="Arial"/>
                <w:szCs w:val="22"/>
              </w:rPr>
              <w:t xml:space="preserve"> </w:t>
            </w:r>
            <w:r w:rsidR="005122BF" w:rsidRPr="003E6726">
              <w:rPr>
                <w:rFonts w:ascii="Arial" w:hAnsi="Arial" w:cs="Arial"/>
                <w:szCs w:val="22"/>
              </w:rPr>
              <w:t xml:space="preserve">the time limit for the recovery of duties in cases of fraud and </w:t>
            </w:r>
            <w:r w:rsidR="005122BF" w:rsidRPr="004F190B">
              <w:rPr>
                <w:rFonts w:ascii="Arial" w:hAnsi="Arial" w:cs="Arial"/>
                <w:szCs w:val="22"/>
              </w:rPr>
              <w:t xml:space="preserve">willful default. This </w:t>
            </w:r>
            <w:r w:rsidR="005122BF" w:rsidRPr="004F190B">
              <w:rPr>
                <w:rFonts w:ascii="Arial" w:hAnsi="Arial" w:cs="Arial"/>
                <w:szCs w:val="22"/>
              </w:rPr>
              <w:lastRenderedPageBreak/>
              <w:t xml:space="preserve">amendment is in keeping with existing compliance norms, and does not impose more onerous record keeping requirements on businesses. </w:t>
            </w:r>
          </w:p>
        </w:tc>
      </w:tr>
      <w:tr w:rsidR="000B708F" w:rsidRPr="0032250E" w14:paraId="40812D10" w14:textId="77777777" w:rsidTr="00D003A1">
        <w:tc>
          <w:tcPr>
            <w:tcW w:w="570" w:type="dxa"/>
          </w:tcPr>
          <w:p w14:paraId="0C6B3E91" w14:textId="77777777" w:rsidR="000B708F" w:rsidRPr="0032250E" w:rsidRDefault="000B708F" w:rsidP="000B708F">
            <w:pPr>
              <w:pStyle w:val="ExpSectionText1"/>
              <w:numPr>
                <w:ilvl w:val="0"/>
                <w:numId w:val="1"/>
              </w:numPr>
              <w:ind w:left="284" w:hanging="142"/>
              <w:rPr>
                <w:rFonts w:ascii="Arial" w:hAnsi="Arial" w:cs="Arial"/>
                <w:szCs w:val="22"/>
              </w:rPr>
            </w:pPr>
          </w:p>
        </w:tc>
        <w:tc>
          <w:tcPr>
            <w:tcW w:w="2686" w:type="dxa"/>
          </w:tcPr>
          <w:p w14:paraId="0E0DCF3C" w14:textId="296A74DF" w:rsidR="002362FA" w:rsidRPr="0032250E" w:rsidRDefault="002362FA" w:rsidP="002362FA">
            <w:pPr>
              <w:shd w:val="clear" w:color="auto" w:fill="FFFFFF"/>
              <w:rPr>
                <w:rFonts w:ascii="Arial" w:hAnsi="Arial" w:cs="Arial"/>
                <w:sz w:val="22"/>
                <w:szCs w:val="22"/>
              </w:rPr>
            </w:pPr>
            <w:r w:rsidRPr="0032250E">
              <w:rPr>
                <w:rFonts w:ascii="Arial" w:hAnsi="Arial" w:cs="Arial"/>
                <w:sz w:val="22"/>
                <w:szCs w:val="22"/>
              </w:rPr>
              <w:t>Section 42 - Liability in respect of duty for goods unaccounted for</w:t>
            </w:r>
            <w:r w:rsidR="005122BF">
              <w:rPr>
                <w:rFonts w:ascii="Arial" w:hAnsi="Arial" w:cs="Arial"/>
                <w:sz w:val="22"/>
                <w:szCs w:val="22"/>
              </w:rPr>
              <w:t xml:space="preserve"> within Free Trade Zones, approved landing places, or transit warehouses</w:t>
            </w:r>
            <w:r w:rsidR="003362BC">
              <w:rPr>
                <w:rFonts w:ascii="Arial" w:hAnsi="Arial" w:cs="Arial"/>
                <w:sz w:val="22"/>
                <w:szCs w:val="22"/>
              </w:rPr>
              <w:t>.</w:t>
            </w:r>
          </w:p>
          <w:p w14:paraId="094C01B8" w14:textId="38DCFC78" w:rsidR="000B708F" w:rsidRPr="0032250E" w:rsidRDefault="000B708F" w:rsidP="002362FA">
            <w:pPr>
              <w:tabs>
                <w:tab w:val="num" w:pos="720"/>
              </w:tabs>
              <w:autoSpaceDE w:val="0"/>
              <w:autoSpaceDN w:val="0"/>
              <w:adjustRightInd w:val="0"/>
              <w:spacing w:line="240" w:lineRule="atLeast"/>
              <w:jc w:val="center"/>
              <w:rPr>
                <w:rFonts w:ascii="Arial" w:hAnsi="Arial" w:cs="Arial"/>
                <w:sz w:val="22"/>
                <w:szCs w:val="22"/>
              </w:rPr>
            </w:pPr>
          </w:p>
        </w:tc>
        <w:tc>
          <w:tcPr>
            <w:tcW w:w="4819" w:type="dxa"/>
          </w:tcPr>
          <w:p w14:paraId="43EA966F" w14:textId="1453D2B4" w:rsidR="003362BC" w:rsidRPr="003362BC" w:rsidRDefault="002378CD" w:rsidP="003362BC">
            <w:pPr>
              <w:pStyle w:val="ExpSectionText1"/>
              <w:ind w:firstLine="0"/>
              <w:rPr>
                <w:rFonts w:ascii="Arial" w:hAnsi="Arial" w:cs="Arial"/>
                <w:szCs w:val="22"/>
              </w:rPr>
            </w:pPr>
            <w:r>
              <w:rPr>
                <w:rFonts w:ascii="Arial" w:hAnsi="Arial" w:cs="Arial"/>
                <w:szCs w:val="22"/>
              </w:rPr>
              <w:t xml:space="preserve">Section 42 </w:t>
            </w:r>
            <w:r w:rsidR="00805A4D">
              <w:rPr>
                <w:rFonts w:ascii="Arial" w:hAnsi="Arial" w:cs="Arial"/>
                <w:szCs w:val="22"/>
              </w:rPr>
              <w:t>specifies the relevant parties liable for</w:t>
            </w:r>
            <w:r w:rsidR="008E7BA0">
              <w:rPr>
                <w:rFonts w:ascii="Arial" w:hAnsi="Arial" w:cs="Arial"/>
                <w:szCs w:val="22"/>
              </w:rPr>
              <w:t xml:space="preserve"> the payment of duties on</w:t>
            </w:r>
            <w:r w:rsidR="00256622">
              <w:rPr>
                <w:rFonts w:ascii="Arial" w:hAnsi="Arial" w:cs="Arial"/>
                <w:szCs w:val="22"/>
              </w:rPr>
              <w:t xml:space="preserve"> </w:t>
            </w:r>
            <w:r w:rsidR="00805A4D">
              <w:rPr>
                <w:rFonts w:ascii="Arial" w:hAnsi="Arial" w:cs="Arial"/>
                <w:szCs w:val="22"/>
              </w:rPr>
              <w:t xml:space="preserve">dutiable goods unaccounted for to the satisfaction of a senior officer of Customs when unshipped or landed in a Free Trade Zone, approved landing place or transit warehouse. </w:t>
            </w:r>
          </w:p>
        </w:tc>
        <w:tc>
          <w:tcPr>
            <w:tcW w:w="5812" w:type="dxa"/>
          </w:tcPr>
          <w:p w14:paraId="1999E8B5" w14:textId="2C44CA0A" w:rsidR="000B708F" w:rsidRPr="0032250E" w:rsidRDefault="00805A4D" w:rsidP="00805A4D">
            <w:pPr>
              <w:pStyle w:val="ExpSectionText1"/>
              <w:spacing w:before="0"/>
              <w:ind w:firstLine="0"/>
              <w:rPr>
                <w:rFonts w:ascii="Arial" w:hAnsi="Arial" w:cs="Arial"/>
                <w:szCs w:val="22"/>
              </w:rPr>
            </w:pPr>
            <w:r>
              <w:rPr>
                <w:rFonts w:ascii="Arial" w:hAnsi="Arial" w:cs="Arial"/>
                <w:szCs w:val="22"/>
              </w:rPr>
              <w:t>The current wording of section 42 is not explicit about the duty treatment of goods used or consumed within Free Trade Zones, approved landing places or transit warehouses.</w:t>
            </w:r>
            <w:r w:rsidRPr="0032250E">
              <w:rPr>
                <w:rFonts w:ascii="Arial" w:hAnsi="Arial" w:cs="Arial"/>
                <w:szCs w:val="22"/>
              </w:rPr>
              <w:t xml:space="preserve"> </w:t>
            </w:r>
            <w:r w:rsidR="002362FA" w:rsidRPr="0032250E">
              <w:rPr>
                <w:rFonts w:ascii="Arial" w:hAnsi="Arial" w:cs="Arial"/>
                <w:szCs w:val="22"/>
              </w:rPr>
              <w:t>The amendment</w:t>
            </w:r>
            <w:r w:rsidR="003362BC">
              <w:rPr>
                <w:rFonts w:ascii="Arial" w:hAnsi="Arial" w:cs="Arial"/>
                <w:szCs w:val="22"/>
              </w:rPr>
              <w:t xml:space="preserve"> will provide legal clarity</w:t>
            </w:r>
            <w:r w:rsidR="002362FA" w:rsidRPr="0032250E">
              <w:rPr>
                <w:rFonts w:ascii="Arial" w:hAnsi="Arial" w:cs="Arial"/>
                <w:szCs w:val="22"/>
              </w:rPr>
              <w:t xml:space="preserve"> to Section 42</w:t>
            </w:r>
            <w:r w:rsidR="003362BC">
              <w:rPr>
                <w:rFonts w:ascii="Arial" w:hAnsi="Arial" w:cs="Arial"/>
                <w:szCs w:val="22"/>
              </w:rPr>
              <w:t xml:space="preserve">, by specifying </w:t>
            </w:r>
            <w:r w:rsidR="00D003A1" w:rsidRPr="0032250E">
              <w:rPr>
                <w:rFonts w:ascii="Arial" w:hAnsi="Arial" w:cs="Arial"/>
                <w:szCs w:val="22"/>
              </w:rPr>
              <w:t xml:space="preserve"> </w:t>
            </w:r>
            <w:r w:rsidR="002362FA" w:rsidRPr="0032250E">
              <w:rPr>
                <w:rFonts w:ascii="Arial" w:hAnsi="Arial" w:cs="Arial"/>
                <w:szCs w:val="22"/>
              </w:rPr>
              <w:t>that duty</w:t>
            </w:r>
            <w:r w:rsidR="003362BC">
              <w:rPr>
                <w:rFonts w:ascii="Arial" w:hAnsi="Arial" w:cs="Arial"/>
                <w:szCs w:val="22"/>
              </w:rPr>
              <w:t xml:space="preserve"> should </w:t>
            </w:r>
            <w:r>
              <w:rPr>
                <w:rFonts w:ascii="Arial" w:hAnsi="Arial" w:cs="Arial"/>
                <w:szCs w:val="22"/>
              </w:rPr>
              <w:t xml:space="preserve">also </w:t>
            </w:r>
            <w:r w:rsidR="003362BC">
              <w:rPr>
                <w:rFonts w:ascii="Arial" w:hAnsi="Arial" w:cs="Arial"/>
                <w:szCs w:val="22"/>
              </w:rPr>
              <w:t>be paid for</w:t>
            </w:r>
            <w:r w:rsidR="002362FA" w:rsidRPr="0032250E">
              <w:rPr>
                <w:rFonts w:ascii="Arial" w:hAnsi="Arial" w:cs="Arial"/>
                <w:szCs w:val="22"/>
              </w:rPr>
              <w:t xml:space="preserve"> goods </w:t>
            </w:r>
            <w:r w:rsidR="003362BC">
              <w:rPr>
                <w:rFonts w:ascii="Arial" w:hAnsi="Arial" w:cs="Arial"/>
                <w:szCs w:val="22"/>
              </w:rPr>
              <w:t xml:space="preserve">used and consumed within </w:t>
            </w:r>
            <w:r>
              <w:rPr>
                <w:rFonts w:ascii="Arial" w:hAnsi="Arial" w:cs="Arial"/>
                <w:szCs w:val="22"/>
              </w:rPr>
              <w:t>these places.</w:t>
            </w:r>
          </w:p>
        </w:tc>
      </w:tr>
      <w:tr w:rsidR="002362FA" w:rsidRPr="0032250E" w14:paraId="310DB25C" w14:textId="77777777" w:rsidTr="00D003A1">
        <w:tc>
          <w:tcPr>
            <w:tcW w:w="570" w:type="dxa"/>
          </w:tcPr>
          <w:p w14:paraId="36AA9954" w14:textId="77777777" w:rsidR="002362FA" w:rsidRPr="0032250E" w:rsidRDefault="002362FA" w:rsidP="002362FA">
            <w:pPr>
              <w:pStyle w:val="ExpSectionText1"/>
              <w:numPr>
                <w:ilvl w:val="0"/>
                <w:numId w:val="1"/>
              </w:numPr>
              <w:ind w:left="284" w:hanging="142"/>
              <w:rPr>
                <w:rFonts w:ascii="Arial" w:hAnsi="Arial" w:cs="Arial"/>
                <w:szCs w:val="22"/>
              </w:rPr>
            </w:pPr>
          </w:p>
        </w:tc>
        <w:tc>
          <w:tcPr>
            <w:tcW w:w="2686" w:type="dxa"/>
          </w:tcPr>
          <w:p w14:paraId="73A9F477" w14:textId="77777777" w:rsidR="00D003A1" w:rsidRPr="0032250E" w:rsidRDefault="002362FA" w:rsidP="00D003A1">
            <w:pPr>
              <w:shd w:val="clear" w:color="auto" w:fill="FFFFFF"/>
              <w:rPr>
                <w:rFonts w:ascii="Arial" w:hAnsi="Arial" w:cs="Arial"/>
                <w:sz w:val="22"/>
                <w:szCs w:val="22"/>
              </w:rPr>
            </w:pPr>
            <w:r w:rsidRPr="0032250E">
              <w:rPr>
                <w:rFonts w:ascii="Arial" w:hAnsi="Arial" w:cs="Arial"/>
                <w:sz w:val="22"/>
                <w:szCs w:val="22"/>
              </w:rPr>
              <w:t>Section 14 -</w:t>
            </w:r>
            <w:r w:rsidR="00D003A1" w:rsidRPr="0032250E">
              <w:rPr>
                <w:rFonts w:ascii="Arial" w:hAnsi="Arial" w:cs="Arial"/>
                <w:sz w:val="22"/>
                <w:szCs w:val="22"/>
              </w:rPr>
              <w:t xml:space="preserve"> Reimposition of customs duty or excise duty</w:t>
            </w:r>
          </w:p>
          <w:p w14:paraId="49C8EF2D" w14:textId="3BA63E1F" w:rsidR="002362FA" w:rsidRPr="0032250E" w:rsidRDefault="002362FA" w:rsidP="00D003A1">
            <w:pPr>
              <w:shd w:val="clear" w:color="auto" w:fill="FFFFFF"/>
              <w:rPr>
                <w:rFonts w:ascii="Arial" w:hAnsi="Arial" w:cs="Arial"/>
                <w:sz w:val="22"/>
                <w:szCs w:val="22"/>
              </w:rPr>
            </w:pPr>
          </w:p>
        </w:tc>
        <w:tc>
          <w:tcPr>
            <w:tcW w:w="4819" w:type="dxa"/>
          </w:tcPr>
          <w:p w14:paraId="177E5FFA" w14:textId="133531A2" w:rsidR="002362FA" w:rsidRDefault="00805A4D" w:rsidP="004F190B">
            <w:pPr>
              <w:pStyle w:val="ExpSectionText1"/>
              <w:shd w:val="clear" w:color="auto" w:fill="FFFFFF"/>
              <w:ind w:firstLine="0"/>
              <w:rPr>
                <w:rFonts w:ascii="Arial" w:hAnsi="Arial" w:cs="Arial"/>
                <w:szCs w:val="22"/>
              </w:rPr>
            </w:pPr>
            <w:r>
              <w:rPr>
                <w:rFonts w:ascii="Arial" w:hAnsi="Arial" w:cs="Arial"/>
                <w:szCs w:val="22"/>
              </w:rPr>
              <w:t>Section 14 allows the reimposition of customs duty or excise duty</w:t>
            </w:r>
            <w:r w:rsidR="004565A8" w:rsidRPr="004F190B">
              <w:rPr>
                <w:rFonts w:ascii="Arial" w:hAnsi="Arial" w:cs="Arial"/>
                <w:szCs w:val="22"/>
              </w:rPr>
              <w:t xml:space="preserve"> if </w:t>
            </w:r>
            <w:r>
              <w:rPr>
                <w:rFonts w:ascii="Arial" w:hAnsi="Arial" w:cs="Arial"/>
                <w:szCs w:val="22"/>
              </w:rPr>
              <w:t xml:space="preserve">the </w:t>
            </w:r>
            <w:r w:rsidR="004565A8" w:rsidRPr="004F190B">
              <w:rPr>
                <w:rFonts w:ascii="Arial" w:hAnsi="Arial" w:cs="Arial"/>
                <w:szCs w:val="22"/>
              </w:rPr>
              <w:t>duty-exempt goods cease to comply with the conditions with which the duty exemption was granted, or cease to be kept or used by the person or for the purposes qualifying them for the exemption</w:t>
            </w:r>
          </w:p>
          <w:p w14:paraId="3C8C6C03" w14:textId="1281C565" w:rsidR="004565A8" w:rsidRPr="004565A8" w:rsidRDefault="004565A8" w:rsidP="004F190B">
            <w:pPr>
              <w:pStyle w:val="ExpSectionText1"/>
              <w:shd w:val="clear" w:color="auto" w:fill="FFFFFF"/>
              <w:ind w:firstLine="0"/>
              <w:rPr>
                <w:rFonts w:ascii="Arial" w:hAnsi="Arial" w:cs="Arial"/>
                <w:szCs w:val="22"/>
              </w:rPr>
            </w:pPr>
          </w:p>
        </w:tc>
        <w:tc>
          <w:tcPr>
            <w:tcW w:w="5812" w:type="dxa"/>
          </w:tcPr>
          <w:p w14:paraId="721880AF" w14:textId="0B5D040A" w:rsidR="002362FA" w:rsidRPr="0032250E" w:rsidRDefault="00805A4D" w:rsidP="008E7BA0">
            <w:pPr>
              <w:jc w:val="both"/>
              <w:rPr>
                <w:rFonts w:ascii="Arial" w:hAnsi="Arial" w:cs="Arial"/>
                <w:szCs w:val="22"/>
              </w:rPr>
            </w:pPr>
            <w:r>
              <w:rPr>
                <w:rFonts w:ascii="Arial" w:hAnsi="Arial" w:cs="Arial"/>
                <w:sz w:val="22"/>
                <w:szCs w:val="22"/>
              </w:rPr>
              <w:t xml:space="preserve">The current wording of Section 14 </w:t>
            </w:r>
            <w:r w:rsidR="00070415">
              <w:rPr>
                <w:rFonts w:ascii="Arial" w:hAnsi="Arial" w:cs="Arial"/>
                <w:sz w:val="22"/>
                <w:szCs w:val="22"/>
              </w:rPr>
              <w:t>specifies that the duty liable should be reimposed based on the value of the good</w:t>
            </w:r>
            <w:r w:rsidR="00685EB7">
              <w:rPr>
                <w:rFonts w:ascii="Arial" w:hAnsi="Arial" w:cs="Arial"/>
                <w:sz w:val="22"/>
                <w:szCs w:val="22"/>
              </w:rPr>
              <w:t>s</w:t>
            </w:r>
            <w:r w:rsidR="00070415">
              <w:rPr>
                <w:rFonts w:ascii="Arial" w:hAnsi="Arial" w:cs="Arial"/>
                <w:sz w:val="22"/>
                <w:szCs w:val="22"/>
              </w:rPr>
              <w:t xml:space="preserve"> at the time of its importation. </w:t>
            </w:r>
            <w:r w:rsidR="00D003A1" w:rsidRPr="0032250E">
              <w:rPr>
                <w:rFonts w:ascii="Arial" w:hAnsi="Arial" w:cs="Arial"/>
                <w:sz w:val="22"/>
                <w:szCs w:val="22"/>
              </w:rPr>
              <w:t xml:space="preserve">The amendment to Section 14 will clarify that duty can be reimposed based on the value at </w:t>
            </w:r>
            <w:r w:rsidR="00070415">
              <w:rPr>
                <w:rFonts w:ascii="Arial" w:hAnsi="Arial" w:cs="Arial"/>
                <w:sz w:val="22"/>
                <w:szCs w:val="22"/>
              </w:rPr>
              <w:t xml:space="preserve">either </w:t>
            </w:r>
            <w:r w:rsidR="00D003A1" w:rsidRPr="0032250E">
              <w:rPr>
                <w:rFonts w:ascii="Arial" w:hAnsi="Arial" w:cs="Arial"/>
                <w:sz w:val="22"/>
                <w:szCs w:val="22"/>
              </w:rPr>
              <w:t xml:space="preserve">the time of importation or </w:t>
            </w:r>
            <w:r w:rsidR="00070415">
              <w:rPr>
                <w:rFonts w:ascii="Arial" w:hAnsi="Arial" w:cs="Arial"/>
                <w:sz w:val="22"/>
                <w:szCs w:val="22"/>
              </w:rPr>
              <w:t>when</w:t>
            </w:r>
            <w:r w:rsidR="00D003A1" w:rsidRPr="0032250E">
              <w:rPr>
                <w:rFonts w:ascii="Arial" w:hAnsi="Arial" w:cs="Arial"/>
                <w:sz w:val="22"/>
                <w:szCs w:val="22"/>
              </w:rPr>
              <w:t xml:space="preserve"> the exemption ceases to apply. </w:t>
            </w:r>
            <w:r w:rsidR="00A177FE">
              <w:rPr>
                <w:rFonts w:ascii="Arial" w:hAnsi="Arial" w:cs="Arial"/>
                <w:sz w:val="22"/>
                <w:szCs w:val="22"/>
              </w:rPr>
              <w:t xml:space="preserve">This would permit more equitable outcomes for </w:t>
            </w:r>
            <w:r w:rsidR="009D2783">
              <w:rPr>
                <w:rFonts w:ascii="Arial" w:hAnsi="Arial" w:cs="Arial"/>
                <w:sz w:val="22"/>
                <w:szCs w:val="22"/>
              </w:rPr>
              <w:t xml:space="preserve">some classes of </w:t>
            </w:r>
            <w:r w:rsidR="00A177FE">
              <w:rPr>
                <w:rFonts w:ascii="Arial" w:hAnsi="Arial" w:cs="Arial"/>
                <w:sz w:val="22"/>
                <w:szCs w:val="22"/>
              </w:rPr>
              <w:t xml:space="preserve">duty-exempt goods </w:t>
            </w:r>
            <w:r w:rsidR="009D2783">
              <w:rPr>
                <w:rFonts w:ascii="Arial" w:hAnsi="Arial" w:cs="Arial"/>
                <w:sz w:val="22"/>
                <w:szCs w:val="22"/>
              </w:rPr>
              <w:t>(</w:t>
            </w:r>
            <w:r w:rsidR="00A177FE">
              <w:rPr>
                <w:rFonts w:ascii="Arial" w:hAnsi="Arial" w:cs="Arial"/>
                <w:sz w:val="22"/>
                <w:szCs w:val="22"/>
              </w:rPr>
              <w:t>such as private ambulances</w:t>
            </w:r>
            <w:r w:rsidR="009D2783">
              <w:rPr>
                <w:rFonts w:ascii="Arial" w:hAnsi="Arial" w:cs="Arial"/>
                <w:sz w:val="22"/>
                <w:szCs w:val="22"/>
              </w:rPr>
              <w:t>).</w:t>
            </w:r>
            <w:r w:rsidR="009D2783" w:rsidDel="009D2783">
              <w:rPr>
                <w:rFonts w:ascii="Arial" w:hAnsi="Arial" w:cs="Arial"/>
                <w:sz w:val="22"/>
                <w:szCs w:val="22"/>
              </w:rPr>
              <w:t xml:space="preserve"> </w:t>
            </w:r>
          </w:p>
        </w:tc>
      </w:tr>
      <w:tr w:rsidR="002362FA" w:rsidRPr="0032250E" w14:paraId="04C20A48" w14:textId="77777777" w:rsidTr="00D003A1">
        <w:tc>
          <w:tcPr>
            <w:tcW w:w="570" w:type="dxa"/>
          </w:tcPr>
          <w:p w14:paraId="758045C4" w14:textId="77777777" w:rsidR="002362FA" w:rsidRPr="0032250E" w:rsidRDefault="002362FA" w:rsidP="002362FA">
            <w:pPr>
              <w:pStyle w:val="ExpSectionText1"/>
              <w:numPr>
                <w:ilvl w:val="0"/>
                <w:numId w:val="1"/>
              </w:numPr>
              <w:ind w:left="284" w:hanging="142"/>
              <w:rPr>
                <w:rFonts w:ascii="Arial" w:hAnsi="Arial" w:cs="Arial"/>
                <w:szCs w:val="22"/>
              </w:rPr>
            </w:pPr>
          </w:p>
        </w:tc>
        <w:tc>
          <w:tcPr>
            <w:tcW w:w="2686" w:type="dxa"/>
          </w:tcPr>
          <w:p w14:paraId="344F1243" w14:textId="77777777" w:rsidR="002362FA" w:rsidRPr="0032250E" w:rsidRDefault="002362FA" w:rsidP="00D003A1">
            <w:pPr>
              <w:jc w:val="both"/>
              <w:rPr>
                <w:rFonts w:ascii="Arial" w:hAnsi="Arial" w:cs="Arial"/>
                <w:sz w:val="22"/>
                <w:szCs w:val="22"/>
              </w:rPr>
            </w:pPr>
            <w:r w:rsidRPr="0032250E">
              <w:rPr>
                <w:rFonts w:ascii="Arial" w:hAnsi="Arial" w:cs="Arial"/>
                <w:sz w:val="22"/>
                <w:szCs w:val="22"/>
              </w:rPr>
              <w:t>Section 34 - Permit to remove goods</w:t>
            </w:r>
          </w:p>
          <w:p w14:paraId="550161F1" w14:textId="573F593B" w:rsidR="002362FA" w:rsidRPr="0032250E" w:rsidRDefault="002362FA" w:rsidP="00D003A1">
            <w:pPr>
              <w:jc w:val="both"/>
              <w:rPr>
                <w:rFonts w:ascii="Arial" w:hAnsi="Arial" w:cs="Arial"/>
                <w:sz w:val="22"/>
                <w:szCs w:val="22"/>
              </w:rPr>
            </w:pPr>
          </w:p>
        </w:tc>
        <w:tc>
          <w:tcPr>
            <w:tcW w:w="4819" w:type="dxa"/>
          </w:tcPr>
          <w:p w14:paraId="31175090" w14:textId="2352D099" w:rsidR="002362FA" w:rsidRPr="0032250E" w:rsidRDefault="00D003A1" w:rsidP="00D003A1">
            <w:pPr>
              <w:jc w:val="both"/>
              <w:rPr>
                <w:rFonts w:ascii="Arial" w:hAnsi="Arial" w:cs="Arial"/>
                <w:sz w:val="22"/>
                <w:szCs w:val="22"/>
              </w:rPr>
            </w:pPr>
            <w:r w:rsidRPr="0032250E">
              <w:rPr>
                <w:rFonts w:ascii="Arial" w:hAnsi="Arial" w:cs="Arial"/>
                <w:sz w:val="22"/>
                <w:szCs w:val="22"/>
              </w:rPr>
              <w:t>Section 34 states the scenarios where the waiver of permit requirement.</w:t>
            </w:r>
          </w:p>
        </w:tc>
        <w:tc>
          <w:tcPr>
            <w:tcW w:w="5812" w:type="dxa"/>
          </w:tcPr>
          <w:p w14:paraId="1E1BB359" w14:textId="1FB6441D" w:rsidR="002362FA" w:rsidRPr="0032250E" w:rsidRDefault="002362FA" w:rsidP="00D003A1">
            <w:pPr>
              <w:jc w:val="both"/>
              <w:rPr>
                <w:rFonts w:ascii="Arial" w:hAnsi="Arial" w:cs="Arial"/>
                <w:sz w:val="22"/>
                <w:szCs w:val="22"/>
              </w:rPr>
            </w:pPr>
            <w:r w:rsidRPr="0032250E">
              <w:rPr>
                <w:rFonts w:ascii="Arial" w:hAnsi="Arial" w:cs="Arial"/>
                <w:sz w:val="22"/>
                <w:szCs w:val="22"/>
              </w:rPr>
              <w:t xml:space="preserve">The amendment to Section </w:t>
            </w:r>
            <w:r w:rsidR="00A9501E" w:rsidRPr="0032250E">
              <w:rPr>
                <w:rFonts w:ascii="Arial" w:hAnsi="Arial" w:cs="Arial"/>
                <w:sz w:val="22"/>
                <w:szCs w:val="22"/>
              </w:rPr>
              <w:t>34</w:t>
            </w:r>
            <w:r w:rsidRPr="0032250E">
              <w:rPr>
                <w:rFonts w:ascii="Arial" w:hAnsi="Arial" w:cs="Arial"/>
                <w:sz w:val="22"/>
                <w:szCs w:val="22"/>
              </w:rPr>
              <w:t xml:space="preserve"> seeks to waive the permit requirement for import of dutiable motor fuel that is carried in the fuel supply tank of the vessel for use in propulsion of the vessel.</w:t>
            </w:r>
          </w:p>
          <w:p w14:paraId="667A815F" w14:textId="29A445EF" w:rsidR="0071416A" w:rsidRPr="0032250E" w:rsidRDefault="0071416A" w:rsidP="00D003A1">
            <w:pPr>
              <w:jc w:val="both"/>
              <w:rPr>
                <w:rFonts w:ascii="Arial" w:hAnsi="Arial" w:cs="Arial"/>
                <w:sz w:val="22"/>
                <w:szCs w:val="22"/>
              </w:rPr>
            </w:pPr>
          </w:p>
        </w:tc>
      </w:tr>
      <w:tr w:rsidR="002362FA" w:rsidRPr="0032250E" w14:paraId="7F0850B1" w14:textId="77777777" w:rsidTr="00D003A1">
        <w:tc>
          <w:tcPr>
            <w:tcW w:w="570" w:type="dxa"/>
          </w:tcPr>
          <w:p w14:paraId="23112DCC" w14:textId="77777777" w:rsidR="002362FA" w:rsidRPr="0032250E" w:rsidRDefault="002362FA" w:rsidP="002362FA">
            <w:pPr>
              <w:pStyle w:val="ExpSectionText1"/>
              <w:numPr>
                <w:ilvl w:val="0"/>
                <w:numId w:val="1"/>
              </w:numPr>
              <w:ind w:left="284" w:hanging="142"/>
              <w:rPr>
                <w:rFonts w:ascii="Arial" w:hAnsi="Arial" w:cs="Arial"/>
                <w:szCs w:val="22"/>
              </w:rPr>
            </w:pPr>
          </w:p>
        </w:tc>
        <w:tc>
          <w:tcPr>
            <w:tcW w:w="2686" w:type="dxa"/>
          </w:tcPr>
          <w:p w14:paraId="67A05E2A" w14:textId="77777777" w:rsidR="002362FA" w:rsidRPr="0032250E" w:rsidRDefault="002362FA" w:rsidP="0071416A">
            <w:pPr>
              <w:rPr>
                <w:rFonts w:ascii="Arial" w:hAnsi="Arial" w:cs="Arial"/>
                <w:sz w:val="22"/>
                <w:szCs w:val="22"/>
              </w:rPr>
            </w:pPr>
            <w:r w:rsidRPr="0032250E">
              <w:rPr>
                <w:rFonts w:ascii="Arial" w:hAnsi="Arial" w:cs="Arial"/>
                <w:sz w:val="22"/>
                <w:szCs w:val="22"/>
              </w:rPr>
              <w:t xml:space="preserve">Section 136 - </w:t>
            </w:r>
            <w:r w:rsidRPr="0032250E">
              <w:rPr>
                <w:rFonts w:ascii="Arial" w:hAnsi="Arial" w:cs="Arial"/>
                <w:bCs/>
                <w:sz w:val="22"/>
                <w:szCs w:val="22"/>
                <w:lang w:val="en" w:eastAsia="en-SG"/>
              </w:rPr>
              <w:t xml:space="preserve">Motor vehicle </w:t>
            </w:r>
            <w:r w:rsidRPr="0032250E">
              <w:rPr>
                <w:rFonts w:ascii="Arial" w:hAnsi="Arial" w:cs="Arial"/>
                <w:sz w:val="22"/>
                <w:szCs w:val="22"/>
              </w:rPr>
              <w:t>leaving Singapore without prescribed amount of motor fuel</w:t>
            </w:r>
          </w:p>
          <w:p w14:paraId="6516A314" w14:textId="2C9B9498" w:rsidR="0071416A" w:rsidRPr="0032250E" w:rsidRDefault="0071416A" w:rsidP="0071416A">
            <w:pPr>
              <w:rPr>
                <w:rFonts w:ascii="Arial" w:hAnsi="Arial" w:cs="Arial"/>
                <w:sz w:val="22"/>
                <w:szCs w:val="22"/>
                <w:lang w:val="en"/>
              </w:rPr>
            </w:pPr>
          </w:p>
        </w:tc>
        <w:tc>
          <w:tcPr>
            <w:tcW w:w="4819" w:type="dxa"/>
          </w:tcPr>
          <w:p w14:paraId="307B2A68" w14:textId="312ED42F" w:rsidR="002362FA" w:rsidRPr="0032250E" w:rsidRDefault="00D003A1" w:rsidP="00070415">
            <w:pPr>
              <w:pStyle w:val="ExpSectionText1"/>
              <w:ind w:firstLine="0"/>
              <w:rPr>
                <w:rFonts w:ascii="Arial" w:hAnsi="Arial" w:cs="Arial"/>
                <w:szCs w:val="22"/>
                <w:lang w:val="en"/>
              </w:rPr>
            </w:pPr>
            <w:r w:rsidRPr="0032250E">
              <w:rPr>
                <w:rFonts w:ascii="Arial" w:hAnsi="Arial" w:cs="Arial"/>
                <w:szCs w:val="22"/>
              </w:rPr>
              <w:t xml:space="preserve">Section 136 states the minimum amount of motor spirit </w:t>
            </w:r>
            <w:r w:rsidR="003905E4">
              <w:rPr>
                <w:rFonts w:ascii="Arial" w:hAnsi="Arial" w:cs="Arial"/>
                <w:szCs w:val="22"/>
              </w:rPr>
              <w:t>a</w:t>
            </w:r>
            <w:r w:rsidRPr="0032250E">
              <w:rPr>
                <w:rFonts w:ascii="Arial" w:hAnsi="Arial" w:cs="Arial"/>
                <w:szCs w:val="22"/>
              </w:rPr>
              <w:t xml:space="preserve"> fuel supply tank of a motor vehicle </w:t>
            </w:r>
            <w:r w:rsidR="003905E4">
              <w:rPr>
                <w:rFonts w:ascii="Arial" w:hAnsi="Arial" w:cs="Arial"/>
                <w:szCs w:val="22"/>
              </w:rPr>
              <w:t xml:space="preserve">must </w:t>
            </w:r>
            <w:r w:rsidR="00070415">
              <w:rPr>
                <w:rFonts w:ascii="Arial" w:hAnsi="Arial" w:cs="Arial"/>
                <w:szCs w:val="22"/>
              </w:rPr>
              <w:t>contain</w:t>
            </w:r>
            <w:r w:rsidR="003905E4">
              <w:rPr>
                <w:rFonts w:ascii="Arial" w:hAnsi="Arial" w:cs="Arial"/>
                <w:szCs w:val="22"/>
              </w:rPr>
              <w:t xml:space="preserve"> when </w:t>
            </w:r>
            <w:r w:rsidR="00070415">
              <w:rPr>
                <w:rFonts w:ascii="Arial" w:hAnsi="Arial" w:cs="Arial"/>
                <w:szCs w:val="22"/>
              </w:rPr>
              <w:t>the motor vehicle</w:t>
            </w:r>
            <w:r w:rsidR="003905E4">
              <w:rPr>
                <w:rFonts w:ascii="Arial" w:hAnsi="Arial" w:cs="Arial"/>
                <w:szCs w:val="22"/>
              </w:rPr>
              <w:t xml:space="preserve"> is </w:t>
            </w:r>
            <w:r w:rsidRPr="0032250E">
              <w:rPr>
                <w:rFonts w:ascii="Arial" w:hAnsi="Arial" w:cs="Arial"/>
                <w:szCs w:val="22"/>
              </w:rPr>
              <w:t>leaving Singapore.</w:t>
            </w:r>
          </w:p>
        </w:tc>
        <w:tc>
          <w:tcPr>
            <w:tcW w:w="5812" w:type="dxa"/>
          </w:tcPr>
          <w:p w14:paraId="0016A017" w14:textId="534B394A" w:rsidR="002362FA" w:rsidRPr="0032250E" w:rsidRDefault="00D003A1" w:rsidP="003905E4">
            <w:pPr>
              <w:pStyle w:val="ExpSectionText1"/>
              <w:spacing w:before="0"/>
              <w:ind w:firstLine="0"/>
              <w:rPr>
                <w:rFonts w:ascii="Arial" w:hAnsi="Arial" w:cs="Arial"/>
                <w:szCs w:val="22"/>
              </w:rPr>
            </w:pPr>
            <w:r w:rsidRPr="0032250E">
              <w:rPr>
                <w:rFonts w:ascii="Arial" w:hAnsi="Arial" w:cs="Arial"/>
                <w:szCs w:val="22"/>
              </w:rPr>
              <w:t xml:space="preserve">The </w:t>
            </w:r>
            <w:r w:rsidR="000F5C19">
              <w:rPr>
                <w:rFonts w:ascii="Arial" w:hAnsi="Arial" w:cs="Arial"/>
                <w:szCs w:val="22"/>
              </w:rPr>
              <w:t xml:space="preserve">consequential </w:t>
            </w:r>
            <w:r w:rsidRPr="0032250E">
              <w:rPr>
                <w:rFonts w:ascii="Arial" w:hAnsi="Arial" w:cs="Arial"/>
                <w:szCs w:val="22"/>
              </w:rPr>
              <w:t xml:space="preserve">amendment to Section </w:t>
            </w:r>
            <w:r w:rsidR="00A9501E" w:rsidRPr="0032250E">
              <w:rPr>
                <w:rFonts w:ascii="Arial" w:hAnsi="Arial" w:cs="Arial"/>
                <w:szCs w:val="22"/>
              </w:rPr>
              <w:t>13</w:t>
            </w:r>
            <w:r w:rsidR="00A9501E" w:rsidRPr="003905E4">
              <w:rPr>
                <w:rFonts w:ascii="Arial" w:hAnsi="Arial" w:cs="Arial"/>
                <w:szCs w:val="22"/>
              </w:rPr>
              <w:t>6</w:t>
            </w:r>
            <w:r w:rsidR="003905E4" w:rsidRPr="003905E4">
              <w:rPr>
                <w:rFonts w:ascii="Arial" w:hAnsi="Arial" w:cs="Arial"/>
                <w:szCs w:val="22"/>
              </w:rPr>
              <w:t xml:space="preserve"> will </w:t>
            </w:r>
            <w:r w:rsidR="003905E4" w:rsidRPr="004F190B">
              <w:rPr>
                <w:rFonts w:ascii="Arial" w:hAnsi="Arial" w:cs="Arial"/>
                <w:color w:val="000000"/>
                <w:szCs w:val="22"/>
              </w:rPr>
              <w:t>account for the expanded definition of motor fuel</w:t>
            </w:r>
            <w:r w:rsidR="00A90401">
              <w:rPr>
                <w:rFonts w:ascii="Arial" w:hAnsi="Arial" w:cs="Arial"/>
                <w:color w:val="000000"/>
                <w:szCs w:val="22"/>
              </w:rPr>
              <w:t>.</w:t>
            </w:r>
            <w:r w:rsidR="003905E4" w:rsidRPr="004F190B">
              <w:rPr>
                <w:rFonts w:ascii="Arial" w:hAnsi="Arial" w:cs="Arial"/>
                <w:color w:val="000000"/>
                <w:szCs w:val="22"/>
              </w:rPr>
              <w:t xml:space="preserve"> </w:t>
            </w:r>
          </w:p>
        </w:tc>
      </w:tr>
      <w:tr w:rsidR="002362FA" w:rsidRPr="0032250E" w14:paraId="62D2ABA0" w14:textId="77777777" w:rsidTr="00D003A1">
        <w:tc>
          <w:tcPr>
            <w:tcW w:w="570" w:type="dxa"/>
          </w:tcPr>
          <w:p w14:paraId="7D0C9B4C" w14:textId="77777777" w:rsidR="002362FA" w:rsidRPr="0032250E" w:rsidRDefault="002362FA" w:rsidP="002362FA">
            <w:pPr>
              <w:pStyle w:val="ExpSectionText1"/>
              <w:numPr>
                <w:ilvl w:val="0"/>
                <w:numId w:val="1"/>
              </w:numPr>
              <w:ind w:left="284" w:hanging="142"/>
              <w:rPr>
                <w:rFonts w:ascii="Arial" w:hAnsi="Arial" w:cs="Arial"/>
                <w:szCs w:val="22"/>
              </w:rPr>
            </w:pPr>
          </w:p>
        </w:tc>
        <w:tc>
          <w:tcPr>
            <w:tcW w:w="2686" w:type="dxa"/>
          </w:tcPr>
          <w:p w14:paraId="67AEA9F8" w14:textId="68E507FA" w:rsidR="002362FA" w:rsidRPr="0032250E" w:rsidRDefault="00D003A1" w:rsidP="002362FA">
            <w:pPr>
              <w:tabs>
                <w:tab w:val="num" w:pos="720"/>
              </w:tabs>
              <w:autoSpaceDE w:val="0"/>
              <w:autoSpaceDN w:val="0"/>
              <w:adjustRightInd w:val="0"/>
              <w:spacing w:line="240" w:lineRule="atLeast"/>
              <w:jc w:val="both"/>
              <w:rPr>
                <w:rFonts w:ascii="Arial" w:hAnsi="Arial" w:cs="Arial"/>
                <w:sz w:val="22"/>
                <w:szCs w:val="22"/>
              </w:rPr>
            </w:pPr>
            <w:r w:rsidRPr="0032250E">
              <w:rPr>
                <w:rFonts w:ascii="Arial" w:hAnsi="Arial" w:cs="Arial"/>
                <w:sz w:val="22"/>
                <w:szCs w:val="22"/>
              </w:rPr>
              <w:t>Section 2 – Scope of Act</w:t>
            </w:r>
          </w:p>
        </w:tc>
        <w:tc>
          <w:tcPr>
            <w:tcW w:w="4819" w:type="dxa"/>
          </w:tcPr>
          <w:p w14:paraId="32BB7692" w14:textId="1A7FB75D" w:rsidR="002362FA" w:rsidRPr="0032250E" w:rsidRDefault="00D003A1" w:rsidP="002362FA">
            <w:pPr>
              <w:pStyle w:val="ExpSectionText1"/>
              <w:ind w:firstLine="0"/>
              <w:rPr>
                <w:rFonts w:ascii="Arial" w:hAnsi="Arial" w:cs="Arial"/>
                <w:szCs w:val="22"/>
              </w:rPr>
            </w:pPr>
            <w:r w:rsidRPr="0032250E">
              <w:rPr>
                <w:rFonts w:ascii="Arial" w:hAnsi="Arial" w:cs="Arial"/>
                <w:szCs w:val="22"/>
              </w:rPr>
              <w:t>Section 2 defines the applicable scope of Customs Act</w:t>
            </w:r>
          </w:p>
        </w:tc>
        <w:tc>
          <w:tcPr>
            <w:tcW w:w="5812" w:type="dxa"/>
          </w:tcPr>
          <w:p w14:paraId="5CC092F5" w14:textId="20FE78BF" w:rsidR="00D003A1" w:rsidRPr="0032250E" w:rsidRDefault="00D003A1" w:rsidP="00D003A1">
            <w:pPr>
              <w:pStyle w:val="ExpSectionText1"/>
              <w:spacing w:before="0"/>
              <w:ind w:firstLine="0"/>
              <w:rPr>
                <w:rFonts w:ascii="Arial" w:hAnsi="Arial" w:cs="Arial"/>
                <w:szCs w:val="22"/>
              </w:rPr>
            </w:pPr>
            <w:r w:rsidRPr="0032250E">
              <w:rPr>
                <w:rFonts w:ascii="Arial" w:hAnsi="Arial" w:cs="Arial"/>
                <w:szCs w:val="22"/>
              </w:rPr>
              <w:t xml:space="preserve">The </w:t>
            </w:r>
            <w:r w:rsidR="000F5C19">
              <w:rPr>
                <w:rFonts w:ascii="Arial" w:hAnsi="Arial" w:cs="Arial"/>
                <w:szCs w:val="22"/>
              </w:rPr>
              <w:t xml:space="preserve">consequential </w:t>
            </w:r>
            <w:r w:rsidRPr="0032250E">
              <w:rPr>
                <w:rFonts w:ascii="Arial" w:hAnsi="Arial" w:cs="Arial"/>
                <w:szCs w:val="22"/>
              </w:rPr>
              <w:t xml:space="preserve">amendment to Section 2 </w:t>
            </w:r>
            <w:r w:rsidR="00A90401" w:rsidRPr="003905E4">
              <w:rPr>
                <w:rFonts w:ascii="Arial" w:hAnsi="Arial" w:cs="Arial"/>
                <w:szCs w:val="22"/>
              </w:rPr>
              <w:t xml:space="preserve">will </w:t>
            </w:r>
            <w:r w:rsidR="00A90401" w:rsidRPr="00F56DE4">
              <w:rPr>
                <w:rFonts w:ascii="Arial" w:hAnsi="Arial" w:cs="Arial"/>
                <w:color w:val="000000"/>
                <w:szCs w:val="22"/>
              </w:rPr>
              <w:t>account for the expanded definition of motor fuel</w:t>
            </w:r>
            <w:r w:rsidR="00A90401">
              <w:rPr>
                <w:rFonts w:ascii="Arial" w:hAnsi="Arial" w:cs="Arial"/>
                <w:color w:val="000000"/>
                <w:szCs w:val="22"/>
              </w:rPr>
              <w:t xml:space="preserve">. </w:t>
            </w:r>
          </w:p>
        </w:tc>
      </w:tr>
    </w:tbl>
    <w:p w14:paraId="54600A96" w14:textId="77777777" w:rsidR="006C2569" w:rsidRPr="0032250E" w:rsidRDefault="006C2569" w:rsidP="006C2569">
      <w:pPr>
        <w:rPr>
          <w:rFonts w:ascii="Arial" w:hAnsi="Arial" w:cs="Arial"/>
          <w:sz w:val="22"/>
          <w:szCs w:val="22"/>
        </w:rPr>
      </w:pPr>
    </w:p>
    <w:sectPr w:rsidR="006C2569" w:rsidRPr="0032250E" w:rsidSect="006C25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22C63" w14:textId="77777777" w:rsidR="00C00907" w:rsidRDefault="00C00907" w:rsidP="006C2569">
      <w:r>
        <w:separator/>
      </w:r>
    </w:p>
  </w:endnote>
  <w:endnote w:type="continuationSeparator" w:id="0">
    <w:p w14:paraId="03E7AF62" w14:textId="77777777" w:rsidR="00C00907" w:rsidRDefault="00C00907" w:rsidP="006C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C324D" w14:textId="77777777" w:rsidR="00C00907" w:rsidRDefault="00C00907" w:rsidP="006C2569">
      <w:r>
        <w:separator/>
      </w:r>
    </w:p>
  </w:footnote>
  <w:footnote w:type="continuationSeparator" w:id="0">
    <w:p w14:paraId="6BEB6C08" w14:textId="77777777" w:rsidR="00C00907" w:rsidRDefault="00C00907" w:rsidP="006C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495F"/>
    <w:multiLevelType w:val="hybridMultilevel"/>
    <w:tmpl w:val="19485D32"/>
    <w:lvl w:ilvl="0" w:tplc="49AA4EA2">
      <w:start w:val="2"/>
      <w:numFmt w:val="decimal"/>
      <w:lvlText w:val="%1."/>
      <w:lvlJc w:val="left"/>
      <w:pPr>
        <w:ind w:left="360" w:hanging="360"/>
      </w:pPr>
      <w:rPr>
        <w:rFonts w:hint="default"/>
        <w:b w:val="0"/>
        <w:i w:val="0"/>
      </w:rPr>
    </w:lvl>
    <w:lvl w:ilvl="1" w:tplc="B62E7B5E">
      <w:start w:val="1"/>
      <w:numFmt w:val="lowerLetter"/>
      <w:lvlText w:val="%2."/>
      <w:lvlJc w:val="left"/>
      <w:pPr>
        <w:ind w:left="1080" w:hanging="360"/>
      </w:pPr>
      <w:rPr>
        <w:rFonts w:hint="default"/>
        <w:b w:val="0"/>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F3E2410"/>
    <w:multiLevelType w:val="multilevel"/>
    <w:tmpl w:val="BB346D00"/>
    <w:lvl w:ilvl="0">
      <w:start w:val="2"/>
      <w:numFmt w:val="decimal"/>
      <w:lvlText w:val="%1"/>
      <w:lvlJc w:val="left"/>
      <w:pPr>
        <w:ind w:left="720" w:hanging="360"/>
      </w:pPr>
      <w:rPr>
        <w:rFonts w:ascii="Times New Roman" w:hAnsi="Times New Roman" w:hint="default"/>
        <w:b w:val="0"/>
        <w:i w:val="0"/>
        <w:sz w:val="28"/>
        <w:szCs w:val="28"/>
      </w:rPr>
    </w:lvl>
    <w:lvl w:ilvl="1">
      <w:start w:val="1"/>
      <w:numFmt w:val="lowerRoman"/>
      <w:lvlText w:val="%2."/>
      <w:lvlJc w:val="right"/>
      <w:pPr>
        <w:ind w:left="517" w:hanging="375"/>
      </w:pPr>
      <w:rPr>
        <w:rFonts w:hint="default"/>
        <w:b w:val="0"/>
        <w:u w:val="none"/>
      </w:rPr>
    </w:lvl>
    <w:lvl w:ilvl="2">
      <w:start w:val="1"/>
      <w:numFmt w:val="lowerLetter"/>
      <w:lvlText w:val="%3."/>
      <w:lvlJc w:val="left"/>
      <w:pPr>
        <w:ind w:left="2040" w:hanging="720"/>
      </w:pPr>
      <w:rPr>
        <w:rFonts w:hint="default"/>
        <w:b w:val="0"/>
        <w:u w:val="none"/>
      </w:rPr>
    </w:lvl>
    <w:lvl w:ilvl="3">
      <w:start w:val="1"/>
      <w:numFmt w:val="decimal"/>
      <w:isLgl/>
      <w:lvlText w:val="%1.%2.%3.%4"/>
      <w:lvlJc w:val="left"/>
      <w:pPr>
        <w:ind w:left="2880" w:hanging="1080"/>
      </w:pPr>
      <w:rPr>
        <w:rFonts w:eastAsia="Times New Roman" w:hint="default"/>
        <w:b/>
        <w:u w:val="single"/>
      </w:rPr>
    </w:lvl>
    <w:lvl w:ilvl="4">
      <w:start w:val="1"/>
      <w:numFmt w:val="decimal"/>
      <w:isLgl/>
      <w:lvlText w:val="%1.%2.%3.%4.%5"/>
      <w:lvlJc w:val="left"/>
      <w:pPr>
        <w:ind w:left="3360" w:hanging="1080"/>
      </w:pPr>
      <w:rPr>
        <w:rFonts w:eastAsia="Times New Roman" w:hint="default"/>
        <w:b/>
        <w:u w:val="single"/>
      </w:rPr>
    </w:lvl>
    <w:lvl w:ilvl="5">
      <w:start w:val="1"/>
      <w:numFmt w:val="decimal"/>
      <w:isLgl/>
      <w:lvlText w:val="%1.%2.%3.%4.%5.%6"/>
      <w:lvlJc w:val="left"/>
      <w:pPr>
        <w:ind w:left="4200" w:hanging="1440"/>
      </w:pPr>
      <w:rPr>
        <w:rFonts w:eastAsia="Times New Roman" w:hint="default"/>
        <w:b/>
        <w:u w:val="single"/>
      </w:rPr>
    </w:lvl>
    <w:lvl w:ilvl="6">
      <w:start w:val="1"/>
      <w:numFmt w:val="decimal"/>
      <w:isLgl/>
      <w:lvlText w:val="%1.%2.%3.%4.%5.%6.%7"/>
      <w:lvlJc w:val="left"/>
      <w:pPr>
        <w:ind w:left="4680" w:hanging="1440"/>
      </w:pPr>
      <w:rPr>
        <w:rFonts w:eastAsia="Times New Roman" w:hint="default"/>
        <w:b/>
        <w:u w:val="single"/>
      </w:rPr>
    </w:lvl>
    <w:lvl w:ilvl="7">
      <w:start w:val="1"/>
      <w:numFmt w:val="decimal"/>
      <w:isLgl/>
      <w:lvlText w:val="%1.%2.%3.%4.%5.%6.%7.%8"/>
      <w:lvlJc w:val="left"/>
      <w:pPr>
        <w:ind w:left="5520" w:hanging="1800"/>
      </w:pPr>
      <w:rPr>
        <w:rFonts w:eastAsia="Times New Roman" w:hint="default"/>
        <w:b/>
        <w:u w:val="single"/>
      </w:rPr>
    </w:lvl>
    <w:lvl w:ilvl="8">
      <w:start w:val="1"/>
      <w:numFmt w:val="decimal"/>
      <w:isLgl/>
      <w:lvlText w:val="%1.%2.%3.%4.%5.%6.%7.%8.%9"/>
      <w:lvlJc w:val="left"/>
      <w:pPr>
        <w:ind w:left="6360" w:hanging="2160"/>
      </w:pPr>
      <w:rPr>
        <w:rFonts w:eastAsia="Times New Roman" w:hint="default"/>
        <w:b/>
        <w:u w:val="single"/>
      </w:rPr>
    </w:lvl>
  </w:abstractNum>
  <w:abstractNum w:abstractNumId="2" w15:restartNumberingAfterBreak="0">
    <w:nsid w:val="32BC1375"/>
    <w:multiLevelType w:val="hybridMultilevel"/>
    <w:tmpl w:val="3E2A44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3AA0CF1"/>
    <w:multiLevelType w:val="hybridMultilevel"/>
    <w:tmpl w:val="BF084E94"/>
    <w:lvl w:ilvl="0" w:tplc="E362B28E">
      <w:start w:val="1"/>
      <w:numFmt w:val="lowerRoman"/>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800E9F5"/>
    <w:multiLevelType w:val="multilevel"/>
    <w:tmpl w:val="BC7C6E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83742F9"/>
    <w:multiLevelType w:val="hybridMultilevel"/>
    <w:tmpl w:val="48F441AE"/>
    <w:lvl w:ilvl="0" w:tplc="E6CE1008">
      <w:start w:val="1"/>
      <w:numFmt w:val="lowerRoman"/>
      <w:lvlText w:val="(%1)"/>
      <w:lvlJc w:val="left"/>
      <w:pPr>
        <w:ind w:left="1080" w:hanging="720"/>
      </w:pPr>
      <w:rPr>
        <w:rFonts w:ascii="Times New Roman" w:hAnsi="Times New Roman" w:cs="Times New Roman"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72B77A3"/>
    <w:multiLevelType w:val="hybridMultilevel"/>
    <w:tmpl w:val="BF084E94"/>
    <w:lvl w:ilvl="0" w:tplc="E362B28E">
      <w:start w:val="1"/>
      <w:numFmt w:val="lowerRoman"/>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69"/>
    <w:rsid w:val="000153FC"/>
    <w:rsid w:val="00070415"/>
    <w:rsid w:val="000B708F"/>
    <w:rsid w:val="000F5C19"/>
    <w:rsid w:val="001C3748"/>
    <w:rsid w:val="001E7A7C"/>
    <w:rsid w:val="002362FA"/>
    <w:rsid w:val="002378CD"/>
    <w:rsid w:val="00256622"/>
    <w:rsid w:val="002D5DF2"/>
    <w:rsid w:val="0032250E"/>
    <w:rsid w:val="0032372B"/>
    <w:rsid w:val="003362BC"/>
    <w:rsid w:val="003905E4"/>
    <w:rsid w:val="003B520E"/>
    <w:rsid w:val="003E6726"/>
    <w:rsid w:val="0043356D"/>
    <w:rsid w:val="004565A8"/>
    <w:rsid w:val="0047554C"/>
    <w:rsid w:val="004F190B"/>
    <w:rsid w:val="005122BF"/>
    <w:rsid w:val="005451BF"/>
    <w:rsid w:val="005724BA"/>
    <w:rsid w:val="005B6215"/>
    <w:rsid w:val="006477EB"/>
    <w:rsid w:val="00685EB7"/>
    <w:rsid w:val="006C2569"/>
    <w:rsid w:val="0071416A"/>
    <w:rsid w:val="007334B8"/>
    <w:rsid w:val="007612BA"/>
    <w:rsid w:val="007845F2"/>
    <w:rsid w:val="00805A4D"/>
    <w:rsid w:val="00860931"/>
    <w:rsid w:val="0086177C"/>
    <w:rsid w:val="0087109F"/>
    <w:rsid w:val="008E2A3C"/>
    <w:rsid w:val="008E7BA0"/>
    <w:rsid w:val="009450B6"/>
    <w:rsid w:val="0095197E"/>
    <w:rsid w:val="00972F18"/>
    <w:rsid w:val="00986378"/>
    <w:rsid w:val="009D2783"/>
    <w:rsid w:val="009F6F25"/>
    <w:rsid w:val="00A114E7"/>
    <w:rsid w:val="00A177FE"/>
    <w:rsid w:val="00A90401"/>
    <w:rsid w:val="00A9501E"/>
    <w:rsid w:val="00AA6D54"/>
    <w:rsid w:val="00B230C6"/>
    <w:rsid w:val="00B732D2"/>
    <w:rsid w:val="00B77877"/>
    <w:rsid w:val="00B77E7A"/>
    <w:rsid w:val="00B846FF"/>
    <w:rsid w:val="00BA2B77"/>
    <w:rsid w:val="00C00907"/>
    <w:rsid w:val="00C41E1D"/>
    <w:rsid w:val="00C67ADB"/>
    <w:rsid w:val="00CD3F72"/>
    <w:rsid w:val="00D003A1"/>
    <w:rsid w:val="00D401C9"/>
    <w:rsid w:val="00D531A4"/>
    <w:rsid w:val="00E136CA"/>
    <w:rsid w:val="00E2718B"/>
    <w:rsid w:val="00E3028B"/>
    <w:rsid w:val="00E64EC8"/>
    <w:rsid w:val="00EA3C1D"/>
    <w:rsid w:val="00F35C14"/>
    <w:rsid w:val="00FF07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3D52"/>
  <w15:chartTrackingRefBased/>
  <w15:docId w15:val="{F7585A56-6EA8-4797-B2AC-A3664B3D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69"/>
    <w:pPr>
      <w:spacing w:after="0" w:line="240" w:lineRule="auto"/>
    </w:pPr>
    <w:rPr>
      <w:rFonts w:ascii="Times New Roman" w:eastAsia="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 Char,Footnote Text Char1 Char Char Char,Footnote Text Char Char Char Char Char,Footnote Text Char Char1 Char Char"/>
    <w:basedOn w:val="Normal"/>
    <w:link w:val="FootnoteTextChar"/>
    <w:uiPriority w:val="99"/>
    <w:rsid w:val="006C2569"/>
    <w:rPr>
      <w:lang w:val="en-GB"/>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Footnote Text Char Char1 Char Char Char"/>
    <w:basedOn w:val="DefaultParagraphFont"/>
    <w:link w:val="FootnoteText"/>
    <w:uiPriority w:val="99"/>
    <w:rsid w:val="006C2569"/>
    <w:rPr>
      <w:rFonts w:ascii="Times New Roman" w:eastAsia="Times New Roman" w:hAnsi="Times New Roman" w:cs="Times New Roman"/>
      <w:sz w:val="20"/>
      <w:szCs w:val="20"/>
      <w:lang w:val="en-GB" w:eastAsia="en-US"/>
    </w:rPr>
  </w:style>
  <w:style w:type="character" w:styleId="FootnoteReference">
    <w:name w:val="footnote reference"/>
    <w:uiPriority w:val="99"/>
    <w:semiHidden/>
    <w:rsid w:val="006C2569"/>
    <w:rPr>
      <w:vertAlign w:val="superscript"/>
    </w:rPr>
  </w:style>
  <w:style w:type="character" w:styleId="CommentReference">
    <w:name w:val="annotation reference"/>
    <w:uiPriority w:val="99"/>
    <w:semiHidden/>
    <w:rsid w:val="006C2569"/>
    <w:rPr>
      <w:sz w:val="16"/>
      <w:szCs w:val="16"/>
    </w:rPr>
  </w:style>
  <w:style w:type="paragraph" w:styleId="CommentText">
    <w:name w:val="annotation text"/>
    <w:basedOn w:val="Normal"/>
    <w:link w:val="CommentTextChar"/>
    <w:uiPriority w:val="99"/>
    <w:rsid w:val="006C2569"/>
  </w:style>
  <w:style w:type="character" w:customStyle="1" w:styleId="CommentTextChar">
    <w:name w:val="Comment Text Char"/>
    <w:basedOn w:val="DefaultParagraphFont"/>
    <w:link w:val="CommentText"/>
    <w:uiPriority w:val="99"/>
    <w:rsid w:val="006C2569"/>
    <w:rPr>
      <w:rFonts w:ascii="Times New Roman" w:eastAsia="Times New Roman" w:hAnsi="Times New Roman" w:cs="Times New Roman"/>
      <w:sz w:val="20"/>
      <w:szCs w:val="20"/>
      <w:lang w:val="en-US" w:eastAsia="en-US"/>
    </w:rPr>
  </w:style>
  <w:style w:type="paragraph" w:customStyle="1" w:styleId="ExpSectionText1">
    <w:name w:val="ExpSectionText(1)"/>
    <w:basedOn w:val="Normal"/>
    <w:link w:val="ExpSectionText1Char"/>
    <w:rsid w:val="006C2569"/>
    <w:pPr>
      <w:suppressLineNumbers/>
      <w:spacing w:before="120"/>
      <w:ind w:firstLine="284"/>
      <w:jc w:val="both"/>
    </w:pPr>
    <w:rPr>
      <w:sz w:val="22"/>
    </w:rPr>
  </w:style>
  <w:style w:type="character" w:customStyle="1" w:styleId="ExpSectionText1Char">
    <w:name w:val="ExpSectionText(1) Char"/>
    <w:link w:val="ExpSectionText1"/>
    <w:rsid w:val="006C2569"/>
    <w:rPr>
      <w:rFonts w:ascii="Times New Roman" w:eastAsia="Times New Roman" w:hAnsi="Times New Roman" w:cs="Times New Roman"/>
      <w:szCs w:val="20"/>
      <w:lang w:val="en-US" w:eastAsia="en-US"/>
    </w:rPr>
  </w:style>
  <w:style w:type="paragraph" w:customStyle="1" w:styleId="NormalWebCharChar">
    <w:name w:val="Normal (Web) Char Char"/>
    <w:basedOn w:val="Normal"/>
    <w:rsid w:val="006C256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2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569"/>
    <w:rPr>
      <w:rFonts w:ascii="Segoe UI" w:eastAsia="Times New Roman" w:hAnsi="Segoe UI" w:cs="Segoe UI"/>
      <w:sz w:val="18"/>
      <w:szCs w:val="18"/>
      <w:lang w:val="en-US" w:eastAsia="en-US"/>
    </w:rPr>
  </w:style>
  <w:style w:type="paragraph" w:styleId="ListParagraph">
    <w:name w:val="List Paragraph"/>
    <w:aliases w:val="Noise heading,RUS List"/>
    <w:basedOn w:val="Normal"/>
    <w:link w:val="ListParagraphChar"/>
    <w:uiPriority w:val="34"/>
    <w:qFormat/>
    <w:rsid w:val="0071416A"/>
    <w:pPr>
      <w:spacing w:after="200" w:line="276" w:lineRule="auto"/>
      <w:ind w:left="720"/>
      <w:contextualSpacing/>
    </w:pPr>
    <w:rPr>
      <w:rFonts w:asciiTheme="minorHAnsi" w:eastAsiaTheme="minorHAnsi" w:hAnsiTheme="minorHAnsi" w:cstheme="minorBidi"/>
      <w:sz w:val="22"/>
      <w:szCs w:val="22"/>
      <w:lang w:val="en-SG"/>
    </w:rPr>
  </w:style>
  <w:style w:type="character" w:customStyle="1" w:styleId="ListParagraphChar">
    <w:name w:val="List Paragraph Char"/>
    <w:aliases w:val="Noise heading Char,RUS List Char"/>
    <w:basedOn w:val="DefaultParagraphFont"/>
    <w:link w:val="ListParagraph"/>
    <w:uiPriority w:val="34"/>
    <w:locked/>
    <w:rsid w:val="0071416A"/>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32250E"/>
    <w:rPr>
      <w:b/>
      <w:bCs/>
    </w:rPr>
  </w:style>
  <w:style w:type="character" w:customStyle="1" w:styleId="CommentSubjectChar">
    <w:name w:val="Comment Subject Char"/>
    <w:basedOn w:val="CommentTextChar"/>
    <w:link w:val="CommentSubject"/>
    <w:uiPriority w:val="99"/>
    <w:semiHidden/>
    <w:rsid w:val="0032250E"/>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9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4BDF-250C-490E-A77C-3E42C5AF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HENG (CUSTOMS)</dc:creator>
  <cp:keywords/>
  <dc:description/>
  <cp:lastModifiedBy>Shaun ZHANG (MOF)</cp:lastModifiedBy>
  <cp:revision>3</cp:revision>
  <dcterms:created xsi:type="dcterms:W3CDTF">2017-05-05T07:21:00Z</dcterms:created>
  <dcterms:modified xsi:type="dcterms:W3CDTF">2017-05-05T07:24:00Z</dcterms:modified>
</cp:coreProperties>
</file>